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66" w:rsidRDefault="00497D66" w:rsidP="00BF6B66">
      <w:pPr>
        <w:pStyle w:val="a3"/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</w:p>
    <w:p w:rsidR="00497D66" w:rsidRDefault="009229C9" w:rsidP="00497D66">
      <w:pPr>
        <w:pStyle w:val="a3"/>
        <w:spacing w:line="360" w:lineRule="auto"/>
        <w:ind w:firstLine="851"/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Консп</w:t>
      </w:r>
      <w:bookmarkStart w:id="0" w:name="_GoBack"/>
      <w:bookmarkEnd w:id="0"/>
      <w:r w:rsidR="00497D66">
        <w:rPr>
          <w:b/>
          <w:color w:val="FF0000"/>
          <w:sz w:val="28"/>
          <w:szCs w:val="28"/>
          <w:lang w:val="uk-UA"/>
        </w:rPr>
        <w:t xml:space="preserve">ект лекції  з навчальної дисципліни </w:t>
      </w:r>
    </w:p>
    <w:p w:rsidR="00497D66" w:rsidRDefault="00497D66" w:rsidP="00497D66">
      <w:pPr>
        <w:pStyle w:val="a3"/>
        <w:spacing w:line="360" w:lineRule="auto"/>
        <w:ind w:firstLine="851"/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ТЕОРІЯ НОТАРІАЛЬНОГО ПРОЦЕСУ</w:t>
      </w:r>
    </w:p>
    <w:p w:rsidR="00497D66" w:rsidRDefault="00497D66" w:rsidP="00497D66">
      <w:pPr>
        <w:pStyle w:val="a3"/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тему</w:t>
      </w:r>
    </w:p>
    <w:p w:rsidR="00497D66" w:rsidRDefault="00497D66" w:rsidP="00497D66">
      <w:pPr>
        <w:pStyle w:val="a3"/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</w:p>
    <w:p w:rsidR="00BF6B66" w:rsidRDefault="00BF6B66" w:rsidP="00497D66">
      <w:pPr>
        <w:pStyle w:val="a3"/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  <w:proofErr w:type="spellStart"/>
      <w:r w:rsidRPr="00CA5553">
        <w:rPr>
          <w:b/>
          <w:sz w:val="28"/>
          <w:szCs w:val="28"/>
          <w:lang w:val="uk-UA"/>
        </w:rPr>
        <w:t>Суб</w:t>
      </w:r>
      <w:proofErr w:type="spellEnd"/>
      <w:r w:rsidRPr="00CA5553">
        <w:rPr>
          <w:b/>
          <w:sz w:val="28"/>
          <w:szCs w:val="28"/>
          <w:lang w:val="uk-UA"/>
        </w:rPr>
        <w:sym w:font="Symbol" w:char="F0A2"/>
      </w:r>
      <w:proofErr w:type="spellStart"/>
      <w:r w:rsidRPr="00CA5553">
        <w:rPr>
          <w:b/>
          <w:sz w:val="28"/>
          <w:szCs w:val="28"/>
          <w:lang w:val="uk-UA"/>
        </w:rPr>
        <w:t>єкти</w:t>
      </w:r>
      <w:proofErr w:type="spellEnd"/>
      <w:r w:rsidRPr="00CA5553">
        <w:rPr>
          <w:b/>
          <w:sz w:val="28"/>
          <w:szCs w:val="28"/>
          <w:lang w:val="uk-UA"/>
        </w:rPr>
        <w:t xml:space="preserve"> нотаріального процесу</w:t>
      </w:r>
    </w:p>
    <w:p w:rsidR="00376FC1" w:rsidRDefault="00376FC1" w:rsidP="00BF6B66">
      <w:pPr>
        <w:pStyle w:val="a3"/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</w:p>
    <w:p w:rsidR="00376FC1" w:rsidRPr="00376FC1" w:rsidRDefault="00376FC1" w:rsidP="00376FC1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376FC1">
        <w:rPr>
          <w:sz w:val="28"/>
          <w:szCs w:val="28"/>
          <w:lang w:val="uk-UA"/>
        </w:rPr>
        <w:t>Поняття та класифікація суб’єктів нотаріального процесу</w:t>
      </w:r>
    </w:p>
    <w:p w:rsidR="00376FC1" w:rsidRPr="00376FC1" w:rsidRDefault="00376FC1" w:rsidP="00376FC1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376FC1">
        <w:rPr>
          <w:sz w:val="28"/>
          <w:szCs w:val="28"/>
          <w:lang w:val="uk-UA"/>
        </w:rPr>
        <w:t>Особи, заінтересовані у вчиненні нотаріальних дій</w:t>
      </w:r>
    </w:p>
    <w:p w:rsidR="00376FC1" w:rsidRPr="00376FC1" w:rsidRDefault="00376FC1" w:rsidP="00376FC1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376FC1">
        <w:rPr>
          <w:sz w:val="28"/>
          <w:szCs w:val="28"/>
          <w:lang w:val="uk-UA"/>
        </w:rPr>
        <w:t>Особи, що сприяють вчиненню нотаріальних дій</w:t>
      </w:r>
    </w:p>
    <w:p w:rsidR="00BF6B66" w:rsidRPr="00CA5553" w:rsidRDefault="00BF6B66" w:rsidP="00BF6B66">
      <w:pPr>
        <w:pStyle w:val="a3"/>
        <w:spacing w:line="360" w:lineRule="auto"/>
        <w:ind w:firstLine="851"/>
        <w:rPr>
          <w:b/>
          <w:sz w:val="28"/>
          <w:szCs w:val="28"/>
          <w:lang w:val="uk-UA"/>
        </w:rPr>
      </w:pPr>
    </w:p>
    <w:p w:rsidR="00376FC1" w:rsidRDefault="00376FC1" w:rsidP="00BF6B66">
      <w:pPr>
        <w:pStyle w:val="a3"/>
        <w:spacing w:line="36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Суб’єкти нотаріального процесу – це особи, наділені нотаріальними процесуальними правами та обов’язками, на підставі яких вони вступають у правові відносини, що складаються при вчиненні нотаріальної дії.</w:t>
      </w:r>
    </w:p>
    <w:p w:rsidR="00BF6B66" w:rsidRPr="00CA5553" w:rsidRDefault="00BF6B66" w:rsidP="00376FC1">
      <w:pPr>
        <w:pStyle w:val="a3"/>
        <w:spacing w:line="360" w:lineRule="auto"/>
        <w:ind w:firstLine="851"/>
        <w:rPr>
          <w:sz w:val="28"/>
          <w:szCs w:val="28"/>
          <w:lang w:val="uk-UA"/>
        </w:rPr>
      </w:pPr>
      <w:r w:rsidRPr="00CA5553">
        <w:rPr>
          <w:sz w:val="28"/>
          <w:szCs w:val="28"/>
          <w:lang w:val="uk-UA"/>
        </w:rPr>
        <w:t>До суб'єктів нотаріального процесу відносяться нотаріальні органи й особи, що беруть участь у здійсненні нотаріальних дій.</w:t>
      </w:r>
      <w:r w:rsidR="00376FC1">
        <w:rPr>
          <w:sz w:val="28"/>
          <w:szCs w:val="28"/>
          <w:lang w:val="uk-UA"/>
        </w:rPr>
        <w:t xml:space="preserve"> При цьому </w:t>
      </w:r>
      <w:r w:rsidRPr="00CA5553">
        <w:rPr>
          <w:sz w:val="28"/>
          <w:szCs w:val="28"/>
          <w:lang w:val="uk-UA"/>
        </w:rPr>
        <w:tab/>
      </w:r>
      <w:r w:rsidR="00376FC1">
        <w:rPr>
          <w:sz w:val="28"/>
          <w:szCs w:val="28"/>
          <w:lang w:val="uk-UA"/>
        </w:rPr>
        <w:t xml:space="preserve">усі </w:t>
      </w:r>
      <w:r w:rsidRPr="00CA5553">
        <w:rPr>
          <w:sz w:val="28"/>
          <w:szCs w:val="28"/>
          <w:lang w:val="uk-UA"/>
        </w:rPr>
        <w:t>суб'єкти нотаріального процесу в залежності від функцій, цілей участі можуть бути об'єднані в три групи.</w:t>
      </w:r>
    </w:p>
    <w:p w:rsidR="00BF6B66" w:rsidRPr="00CA5553" w:rsidRDefault="00BF6B66" w:rsidP="00BF6B66">
      <w:pPr>
        <w:pStyle w:val="a3"/>
        <w:spacing w:line="360" w:lineRule="auto"/>
        <w:ind w:firstLine="851"/>
        <w:rPr>
          <w:sz w:val="28"/>
          <w:szCs w:val="28"/>
          <w:lang w:val="uk-UA"/>
        </w:rPr>
      </w:pPr>
      <w:r w:rsidRPr="00CA5553">
        <w:rPr>
          <w:sz w:val="28"/>
          <w:szCs w:val="28"/>
          <w:lang w:val="uk-UA"/>
        </w:rPr>
        <w:tab/>
        <w:t xml:space="preserve">Першу складають нотаріальні органи — державні та приватні нотаріуси, </w:t>
      </w:r>
      <w:r>
        <w:rPr>
          <w:sz w:val="28"/>
          <w:szCs w:val="28"/>
          <w:lang w:val="uk-UA"/>
        </w:rPr>
        <w:t xml:space="preserve">уповноважені </w:t>
      </w:r>
      <w:r w:rsidRPr="00CA5553">
        <w:rPr>
          <w:sz w:val="28"/>
          <w:szCs w:val="28"/>
          <w:lang w:val="uk-UA"/>
        </w:rPr>
        <w:t xml:space="preserve">посадові особи </w:t>
      </w:r>
      <w:r>
        <w:rPr>
          <w:sz w:val="28"/>
          <w:szCs w:val="28"/>
          <w:lang w:val="uk-UA"/>
        </w:rPr>
        <w:t>органів місцевого самоврядування</w:t>
      </w:r>
      <w:r w:rsidRPr="00CA5553">
        <w:rPr>
          <w:sz w:val="28"/>
          <w:szCs w:val="28"/>
          <w:lang w:val="uk-UA"/>
        </w:rPr>
        <w:t>, консульські установи України.</w:t>
      </w:r>
      <w:r w:rsidRPr="00CA5553">
        <w:rPr>
          <w:sz w:val="28"/>
          <w:szCs w:val="28"/>
          <w:lang w:val="uk-UA"/>
        </w:rPr>
        <w:tab/>
        <w:t xml:space="preserve">Другу групу утворюють юридично заінтересовані особи. Це </w:t>
      </w:r>
      <w:r>
        <w:rPr>
          <w:sz w:val="28"/>
          <w:szCs w:val="28"/>
          <w:lang w:val="uk-UA"/>
        </w:rPr>
        <w:t>фізичні</w:t>
      </w:r>
      <w:r w:rsidRPr="00CA55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CA5553">
        <w:rPr>
          <w:sz w:val="28"/>
          <w:szCs w:val="28"/>
          <w:lang w:val="uk-UA"/>
        </w:rPr>
        <w:t xml:space="preserve"> юридичні особи, за дорученням яких чи у відношенні яких відбувалися нотаріальні дії, та їх представники.</w:t>
      </w:r>
      <w:r w:rsidRPr="00CA555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CA5553">
        <w:rPr>
          <w:sz w:val="28"/>
          <w:szCs w:val="28"/>
          <w:lang w:val="uk-UA"/>
        </w:rPr>
        <w:t xml:space="preserve">До третьої групи відносяться особи, не заінтересовані в результаті нотаріальної справи, але які також беруть участь у нотаріальному процесі (експерти, перекладачі, зберігачі й опікуни спадкового майна й ін.). </w:t>
      </w:r>
      <w:r>
        <w:rPr>
          <w:sz w:val="28"/>
          <w:szCs w:val="28"/>
          <w:lang w:val="uk-UA"/>
        </w:rPr>
        <w:t>Мета</w:t>
      </w:r>
      <w:r w:rsidRPr="00CA5553">
        <w:rPr>
          <w:sz w:val="28"/>
          <w:szCs w:val="28"/>
          <w:lang w:val="uk-UA"/>
        </w:rPr>
        <w:t xml:space="preserve"> їх участі — сприяти здійсненню нотаріальної діяльності і винесенню нотаріусом законного й обґрунтованого нотаріального акту.</w:t>
      </w:r>
    </w:p>
    <w:p w:rsidR="00BF6B66" w:rsidRPr="00CA5553" w:rsidRDefault="00BF6B66" w:rsidP="00BF6B66">
      <w:pPr>
        <w:pStyle w:val="a3"/>
        <w:spacing w:line="360" w:lineRule="auto"/>
        <w:ind w:firstLine="851"/>
        <w:rPr>
          <w:sz w:val="28"/>
          <w:szCs w:val="28"/>
          <w:lang w:val="uk-UA"/>
        </w:rPr>
      </w:pPr>
      <w:r w:rsidRPr="00CA5553">
        <w:rPr>
          <w:sz w:val="28"/>
          <w:szCs w:val="28"/>
          <w:lang w:val="uk-UA"/>
        </w:rPr>
        <w:tab/>
        <w:t xml:space="preserve">Нотаріальні органи є центральними й обов'язковими суб'єктами нотаріального процесу, вони наділені повноваженнями приймати обов'язкові </w:t>
      </w:r>
      <w:r w:rsidRPr="00CA5553">
        <w:rPr>
          <w:sz w:val="28"/>
          <w:szCs w:val="28"/>
          <w:lang w:val="uk-UA"/>
        </w:rPr>
        <w:lastRenderedPageBreak/>
        <w:t>для всіх інших суб'єктів нотаріальні акти. Владний характер повноважень нотаріальних органів забезпечує можливість залучення до процесу заінтересованих осіб і інших суб'єктів, збір, дослідження й оцінку доказів і таку організацію процесу, що створює умови для одержання заінтересованими особами очікуваного результату відповідно до закону, тобто для виконання задач нотаріату.</w:t>
      </w:r>
    </w:p>
    <w:p w:rsidR="00BF6B66" w:rsidRPr="00CA5553" w:rsidRDefault="00BF6B66" w:rsidP="00BF6B66">
      <w:pPr>
        <w:pStyle w:val="a3"/>
        <w:spacing w:line="360" w:lineRule="auto"/>
        <w:ind w:firstLine="851"/>
        <w:rPr>
          <w:sz w:val="28"/>
          <w:szCs w:val="28"/>
          <w:lang w:val="uk-UA"/>
        </w:rPr>
      </w:pPr>
      <w:r w:rsidRPr="00CA5553">
        <w:rPr>
          <w:sz w:val="28"/>
          <w:szCs w:val="28"/>
          <w:lang w:val="uk-UA"/>
        </w:rPr>
        <w:tab/>
        <w:t xml:space="preserve">Покладаючи на нотаріальні органи функцію вчинення нотаріальних дій, держава наділяє їх реальними владними повноваженнями. Правосуб'єктність нотаріальних органів має своєрідний характер. Вона виявляється в компетенції, тому що нотаріальні органи наділяються державою не </w:t>
      </w:r>
      <w:proofErr w:type="spellStart"/>
      <w:r w:rsidRPr="00CA5553">
        <w:rPr>
          <w:sz w:val="28"/>
          <w:szCs w:val="28"/>
          <w:lang w:val="uk-UA"/>
        </w:rPr>
        <w:t>право-</w:t>
      </w:r>
      <w:proofErr w:type="spellEnd"/>
      <w:r w:rsidRPr="00CA5553">
        <w:rPr>
          <w:sz w:val="28"/>
          <w:szCs w:val="28"/>
          <w:lang w:val="uk-UA"/>
        </w:rPr>
        <w:t xml:space="preserve"> і дієздатністю, а правами й обов'язками, сукупність яких і складає компетенцію нотаріальних органів щодо вчинення нотаріальних дій.</w:t>
      </w:r>
    </w:p>
    <w:p w:rsidR="00BF6B66" w:rsidRPr="00CA5553" w:rsidRDefault="00BF6B66" w:rsidP="00BF6B66">
      <w:pPr>
        <w:pStyle w:val="a3"/>
        <w:spacing w:line="360" w:lineRule="auto"/>
        <w:ind w:firstLine="851"/>
        <w:rPr>
          <w:sz w:val="28"/>
          <w:szCs w:val="28"/>
          <w:lang w:val="uk-UA"/>
        </w:rPr>
      </w:pPr>
      <w:r w:rsidRPr="00CA5553">
        <w:rPr>
          <w:sz w:val="28"/>
          <w:szCs w:val="28"/>
          <w:lang w:val="uk-UA"/>
        </w:rPr>
        <w:tab/>
        <w:t>Компетенція нотаріальних органів має різний обсяг, тому що коло повноважень на вчинення основних нотаріальних дій різний у залежності від суб'єкта, що представляє нотаріальний орган.</w:t>
      </w:r>
    </w:p>
    <w:p w:rsidR="00BF6B66" w:rsidRPr="00CA5553" w:rsidRDefault="00BF6B66" w:rsidP="00BF6B66">
      <w:pPr>
        <w:pStyle w:val="a3"/>
        <w:spacing w:line="360" w:lineRule="auto"/>
        <w:ind w:firstLine="851"/>
        <w:rPr>
          <w:sz w:val="28"/>
          <w:szCs w:val="28"/>
          <w:lang w:val="uk-UA"/>
        </w:rPr>
      </w:pPr>
      <w:r w:rsidRPr="00CA5553">
        <w:rPr>
          <w:sz w:val="28"/>
          <w:szCs w:val="28"/>
          <w:lang w:val="uk-UA"/>
        </w:rPr>
        <w:tab/>
        <w:t>Крім нотаріусів і посадових осіб, уповноважених вчинювати нотаріальні дії, до суб'єктів нотаріального процесу відносяться заінтересовані в справі особи.</w:t>
      </w:r>
    </w:p>
    <w:p w:rsidR="00BF6B66" w:rsidRPr="00CA5553" w:rsidRDefault="00BF6B66" w:rsidP="00BF6B66">
      <w:pPr>
        <w:pStyle w:val="a3"/>
        <w:spacing w:line="360" w:lineRule="auto"/>
        <w:ind w:firstLine="851"/>
        <w:rPr>
          <w:sz w:val="28"/>
          <w:szCs w:val="28"/>
          <w:lang w:val="uk-UA"/>
        </w:rPr>
      </w:pPr>
      <w:r w:rsidRPr="00CA5553">
        <w:rPr>
          <w:sz w:val="28"/>
          <w:szCs w:val="28"/>
          <w:lang w:val="uk-UA"/>
        </w:rPr>
        <w:tab/>
        <w:t>Ці особи, у свою чергу, поділяються на осіб -  ініціаторів процесу, тобто тих, хто порушує нотаріальне провадження, звертаючись до нотаріуса за вчиненням нотаріальної дії, і осіб,  що притягуються до  процесу нотаріальним органом.</w:t>
      </w:r>
    </w:p>
    <w:p w:rsidR="00BF6B66" w:rsidRPr="00CA5553" w:rsidRDefault="00BF6B66" w:rsidP="00BF6B66">
      <w:pPr>
        <w:pStyle w:val="a3"/>
        <w:spacing w:line="360" w:lineRule="auto"/>
        <w:ind w:firstLine="851"/>
        <w:rPr>
          <w:sz w:val="28"/>
          <w:szCs w:val="28"/>
          <w:lang w:val="uk-UA"/>
        </w:rPr>
      </w:pPr>
      <w:r w:rsidRPr="00CA5553">
        <w:rPr>
          <w:sz w:val="28"/>
          <w:szCs w:val="28"/>
          <w:lang w:val="uk-UA"/>
        </w:rPr>
        <w:tab/>
        <w:t xml:space="preserve">Наприклад, у порядку ст. 85 Закону нотаріус приймає від боржника в депозит грошові суми і цінні папери для передачі їх кредитору. Про надходження грошових сум і цінних паперів нотаріус сповіщає кредитора і на його вимогу видає йому грошові суми і цінні папери. Тут ініціатором процесу виступає боржник, а кредитора нотаріальний орган зобов'язаний залучити в процес. Аналогічна ситуація складається при застосуванні ряду інших статей Закону. Так, ст. 55 Закону передбачає, що </w:t>
      </w:r>
      <w:r w:rsidRPr="00CA5553">
        <w:rPr>
          <w:sz w:val="28"/>
          <w:szCs w:val="28"/>
          <w:lang w:val="uk-UA"/>
        </w:rPr>
        <w:lastRenderedPageBreak/>
        <w:t>при наявності заборони відчуження майна, обтяженого боргом, правочин про його відчуження засвідчується лише у випадку згоди кредитора і набувача на переведення боргу на набувача. Стаття 72 Закону передбачає обов'язкову участь у нотаріальному процесі стягувача, якщо не відбулися прилюдні торги житлового будинку; ст. 71 — спадкоємців померлого з подружжя при видачі свідоцтва про право власності на частку у спільному майні подружжя; ст. 63 — спадкоємців при відкритті спадщини.</w:t>
      </w:r>
    </w:p>
    <w:p w:rsidR="00BF6B66" w:rsidRPr="00CA5553" w:rsidRDefault="00BF6B66" w:rsidP="00BF6B66">
      <w:pPr>
        <w:pStyle w:val="a3"/>
        <w:spacing w:line="360" w:lineRule="auto"/>
        <w:ind w:firstLine="851"/>
        <w:rPr>
          <w:sz w:val="28"/>
          <w:szCs w:val="28"/>
          <w:lang w:val="uk-UA"/>
        </w:rPr>
      </w:pPr>
      <w:r w:rsidRPr="00CA5553">
        <w:rPr>
          <w:sz w:val="28"/>
          <w:szCs w:val="28"/>
          <w:lang w:val="uk-UA"/>
        </w:rPr>
        <w:tab/>
        <w:t xml:space="preserve">Існування інституту обов'язкової участі заінтересованих осіб </w:t>
      </w:r>
      <w:r>
        <w:rPr>
          <w:sz w:val="28"/>
          <w:szCs w:val="28"/>
          <w:lang w:val="uk-UA"/>
        </w:rPr>
        <w:t xml:space="preserve">у нотаріальному процесі </w:t>
      </w:r>
      <w:r w:rsidRPr="00CA5553">
        <w:rPr>
          <w:sz w:val="28"/>
          <w:szCs w:val="28"/>
          <w:lang w:val="uk-UA"/>
        </w:rPr>
        <w:t xml:space="preserve">обумовлене тим, що в результаті вчинення нотаріальної дії можуть бути порушені їх права й інтереси. Така участь забезпечує реалізацію безспірного характеру нотаріального провадження: якщо між зазначеними особами й ініціатором процесу виникає спір, продовження нотаріального процесу стане неможливим, виникне судовий процес. Відсутність же спору між ними в </w:t>
      </w:r>
      <w:r>
        <w:rPr>
          <w:sz w:val="28"/>
          <w:szCs w:val="28"/>
          <w:lang w:val="uk-UA"/>
        </w:rPr>
        <w:t xml:space="preserve">межах </w:t>
      </w:r>
      <w:r w:rsidRPr="00CA5553">
        <w:rPr>
          <w:sz w:val="28"/>
          <w:szCs w:val="28"/>
          <w:lang w:val="uk-UA"/>
        </w:rPr>
        <w:t>нотаріального процесу ви</w:t>
      </w:r>
      <w:r>
        <w:rPr>
          <w:sz w:val="28"/>
          <w:szCs w:val="28"/>
          <w:lang w:val="uk-UA"/>
        </w:rPr>
        <w:t>ключає і виникнення судового</w:t>
      </w:r>
      <w:r w:rsidRPr="00CA5553">
        <w:rPr>
          <w:sz w:val="28"/>
          <w:szCs w:val="28"/>
          <w:lang w:val="uk-UA"/>
        </w:rPr>
        <w:t xml:space="preserve"> спору в наступному.</w:t>
      </w:r>
    </w:p>
    <w:p w:rsidR="00BF6B66" w:rsidRPr="00CA5553" w:rsidRDefault="00BF6B66" w:rsidP="00BF6B66">
      <w:pPr>
        <w:pStyle w:val="a3"/>
        <w:spacing w:line="360" w:lineRule="auto"/>
        <w:ind w:firstLine="851"/>
        <w:rPr>
          <w:sz w:val="28"/>
          <w:szCs w:val="28"/>
          <w:lang w:val="uk-UA"/>
        </w:rPr>
      </w:pPr>
      <w:r w:rsidRPr="00CA5553">
        <w:rPr>
          <w:sz w:val="28"/>
          <w:szCs w:val="28"/>
          <w:lang w:val="uk-UA"/>
        </w:rPr>
        <w:tab/>
        <w:t xml:space="preserve">До заінтересованих осіб відносяться також законні (ст. 80, 81 Закону) і договірні (ст. 44 Закону) представники. Їх інтерес визначається безпосередньо законом (батьки, усиновителі, опікуни чи піклувальники) або договором (адвокати). Здійснюючи функцію сприяння </w:t>
      </w:r>
      <w:r>
        <w:rPr>
          <w:sz w:val="28"/>
          <w:szCs w:val="28"/>
          <w:lang w:val="uk-UA"/>
        </w:rPr>
        <w:t>особам, яких представляють,</w:t>
      </w:r>
      <w:r w:rsidRPr="00CA5553">
        <w:rPr>
          <w:sz w:val="28"/>
          <w:szCs w:val="28"/>
          <w:lang w:val="uk-UA"/>
        </w:rPr>
        <w:t xml:space="preserve">  в досягненні їх цілей у процесі, представники здатні впливати на виникнення і хід нотаріального процесу.</w:t>
      </w:r>
    </w:p>
    <w:p w:rsidR="00BF6B66" w:rsidRPr="00CA5553" w:rsidRDefault="00BF6B66" w:rsidP="00BF6B66">
      <w:pPr>
        <w:pStyle w:val="a3"/>
        <w:spacing w:line="360" w:lineRule="auto"/>
        <w:ind w:firstLine="851"/>
        <w:rPr>
          <w:sz w:val="28"/>
          <w:szCs w:val="28"/>
          <w:lang w:val="uk-UA"/>
        </w:rPr>
      </w:pPr>
      <w:r w:rsidRPr="00CA5553">
        <w:rPr>
          <w:sz w:val="28"/>
          <w:szCs w:val="28"/>
          <w:lang w:val="uk-UA"/>
        </w:rPr>
        <w:tab/>
        <w:t>До незаінтересованих осіб у нотаріальному процесі слід віднести експертів (ст. 51 Закону), перекладачів (ст. 15 і 79 Закону), зберігачів, опікунів і інших осіб, яким передано на збереження спадкове майно (ст. 61 Закону), свідків (ст. 94 Закону) і інших осіб.</w:t>
      </w:r>
    </w:p>
    <w:p w:rsidR="00BF6B66" w:rsidRPr="00CA5553" w:rsidRDefault="00BF6B66" w:rsidP="00BF6B66">
      <w:pPr>
        <w:pStyle w:val="a3"/>
        <w:spacing w:line="360" w:lineRule="auto"/>
        <w:ind w:firstLine="851"/>
        <w:rPr>
          <w:sz w:val="28"/>
          <w:szCs w:val="28"/>
          <w:lang w:val="uk-UA"/>
        </w:rPr>
      </w:pPr>
      <w:r w:rsidRPr="00CA5553">
        <w:rPr>
          <w:sz w:val="28"/>
          <w:szCs w:val="28"/>
          <w:lang w:val="uk-UA"/>
        </w:rPr>
        <w:tab/>
        <w:t xml:space="preserve">Суб'єкти цієї групи не впливають на хід і розвиток процесу, а тільки сприяють успішній діяльності інших учасників тим, що надають необхідний фактичний матеріал. Висновки експертів є для нотаріусів джерелами відомостей, необхідних для вирішення питання про дійсність представлених документів. Перекладач — процесуальна фігура, необхідна </w:t>
      </w:r>
      <w:r w:rsidRPr="00CA5553">
        <w:rPr>
          <w:sz w:val="28"/>
          <w:szCs w:val="28"/>
          <w:lang w:val="uk-UA"/>
        </w:rPr>
        <w:lastRenderedPageBreak/>
        <w:t>для реалізації принципу мови в нотаріальному провадженні і забезпечення здійснення громадянами своїх прав. Без його участі нотаріус, що не володіє відповідною мовою, просто не зможе виконувати нотаріальну дію, передбачену ст. 79 Закону, — посвідчення правильності перекладу. Зберігачі й опікуни спадкового майна — суб'єкти нотаріального процесу, що сприяють належній організації охорони. Свідки підтверджують ті фактичні обставини, що послужать підставою для складання акта про морський протест.</w:t>
      </w:r>
    </w:p>
    <w:p w:rsidR="00BF6B66" w:rsidRDefault="00BF6B66" w:rsidP="00BF6B66">
      <w:pPr>
        <w:pStyle w:val="a3"/>
        <w:spacing w:line="360" w:lineRule="auto"/>
        <w:ind w:firstLine="851"/>
        <w:rPr>
          <w:b/>
          <w:sz w:val="28"/>
          <w:szCs w:val="28"/>
          <w:lang w:val="uk-UA"/>
        </w:rPr>
      </w:pPr>
      <w:r w:rsidRPr="00CA5553">
        <w:rPr>
          <w:sz w:val="28"/>
          <w:szCs w:val="28"/>
          <w:lang w:val="uk-UA"/>
        </w:rPr>
        <w:tab/>
        <w:t>Серед суб'єктів</w:t>
      </w:r>
      <w:r>
        <w:rPr>
          <w:sz w:val="28"/>
          <w:szCs w:val="28"/>
          <w:lang w:val="uk-UA"/>
        </w:rPr>
        <w:t xml:space="preserve"> </w:t>
      </w:r>
      <w:r w:rsidRPr="00CA5553">
        <w:rPr>
          <w:sz w:val="28"/>
          <w:szCs w:val="28"/>
          <w:lang w:val="uk-UA"/>
        </w:rPr>
        <w:t xml:space="preserve"> нотаріального процесу</w:t>
      </w:r>
      <w:r>
        <w:rPr>
          <w:sz w:val="28"/>
          <w:szCs w:val="28"/>
          <w:lang w:val="uk-UA"/>
        </w:rPr>
        <w:t>, що належать до незаінтересованих осіб,</w:t>
      </w:r>
      <w:r w:rsidRPr="00CA5553">
        <w:rPr>
          <w:sz w:val="28"/>
          <w:szCs w:val="28"/>
          <w:lang w:val="uk-UA"/>
        </w:rPr>
        <w:t xml:space="preserve"> слід виділити й осіб, уповноважених </w:t>
      </w:r>
      <w:r>
        <w:rPr>
          <w:sz w:val="28"/>
          <w:szCs w:val="28"/>
          <w:lang w:val="uk-UA"/>
        </w:rPr>
        <w:t>заінтересованих особами на вчинення окремих процесуальних дій</w:t>
      </w:r>
      <w:r w:rsidRPr="00CA5553">
        <w:rPr>
          <w:sz w:val="28"/>
          <w:szCs w:val="28"/>
          <w:lang w:val="uk-UA"/>
        </w:rPr>
        <w:t xml:space="preserve">. Вони беруть участь у процесі в порядку ст. 45 і ст. 97 Закону, підписуючи </w:t>
      </w:r>
      <w:r>
        <w:rPr>
          <w:sz w:val="28"/>
          <w:szCs w:val="28"/>
          <w:lang w:val="uk-UA"/>
        </w:rPr>
        <w:t>правочин</w:t>
      </w:r>
      <w:r w:rsidRPr="00CA5553">
        <w:rPr>
          <w:sz w:val="28"/>
          <w:szCs w:val="28"/>
          <w:lang w:val="uk-UA"/>
        </w:rPr>
        <w:t xml:space="preserve"> замість особи, що не може це зробити власноручно унаслідок фізичного недоліку, хвороби чи </w:t>
      </w:r>
      <w:r>
        <w:rPr>
          <w:sz w:val="28"/>
          <w:szCs w:val="28"/>
          <w:lang w:val="uk-UA"/>
        </w:rPr>
        <w:t>з</w:t>
      </w:r>
      <w:r w:rsidRPr="00CA5553">
        <w:rPr>
          <w:sz w:val="28"/>
          <w:szCs w:val="28"/>
          <w:lang w:val="uk-UA"/>
        </w:rPr>
        <w:t xml:space="preserve"> інших поважних причин</w:t>
      </w:r>
      <w:r>
        <w:rPr>
          <w:sz w:val="28"/>
          <w:szCs w:val="28"/>
          <w:lang w:val="uk-UA"/>
        </w:rPr>
        <w:t xml:space="preserve"> </w:t>
      </w:r>
      <w:r w:rsidRPr="00CA5553">
        <w:rPr>
          <w:sz w:val="28"/>
          <w:szCs w:val="28"/>
          <w:lang w:val="uk-UA"/>
        </w:rPr>
        <w:t xml:space="preserve"> або</w:t>
      </w:r>
      <w:r>
        <w:rPr>
          <w:sz w:val="28"/>
          <w:szCs w:val="28"/>
          <w:lang w:val="uk-UA"/>
        </w:rPr>
        <w:t xml:space="preserve"> </w:t>
      </w:r>
      <w:r w:rsidRPr="00CA5553">
        <w:rPr>
          <w:sz w:val="28"/>
          <w:szCs w:val="28"/>
          <w:lang w:val="uk-UA"/>
        </w:rPr>
        <w:t>одержуючи від нотаріуса прийняті на збереження в</w:t>
      </w:r>
      <w:r>
        <w:rPr>
          <w:sz w:val="28"/>
          <w:szCs w:val="28"/>
          <w:lang w:val="uk-UA"/>
        </w:rPr>
        <w:t>ід</w:t>
      </w:r>
      <w:r w:rsidRPr="00CA5553">
        <w:rPr>
          <w:sz w:val="28"/>
          <w:szCs w:val="28"/>
          <w:lang w:val="uk-UA"/>
        </w:rPr>
        <w:t xml:space="preserve"> іншої особи документи. Ці суб'єкти відрізняються від представників тим, що спеціально уповноважуються заінтересованими особами на вчинення лише однієї процесуальної дії і внаслідок цього не мають заінтересованості в процесі. Крім того, у ст. 45 Закону вказується, що </w:t>
      </w:r>
      <w:r>
        <w:rPr>
          <w:sz w:val="28"/>
          <w:szCs w:val="28"/>
          <w:lang w:val="uk-UA"/>
        </w:rPr>
        <w:t>правочин</w:t>
      </w:r>
      <w:r w:rsidRPr="00CA5553">
        <w:rPr>
          <w:sz w:val="28"/>
          <w:szCs w:val="28"/>
          <w:lang w:val="uk-UA"/>
        </w:rPr>
        <w:t xml:space="preserve"> не може підписувати особа, на користь якої чи за участі якої її посвідчено, тобто заінтересована особа.</w:t>
      </w:r>
    </w:p>
    <w:p w:rsidR="008364C5" w:rsidRPr="00BF6B66" w:rsidRDefault="008364C5">
      <w:pPr>
        <w:rPr>
          <w:lang w:val="uk-UA"/>
        </w:rPr>
      </w:pPr>
    </w:p>
    <w:sectPr w:rsidR="008364C5" w:rsidRPr="00BF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577"/>
    <w:multiLevelType w:val="hybridMultilevel"/>
    <w:tmpl w:val="BC8AB3AC"/>
    <w:lvl w:ilvl="0" w:tplc="095439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64C5"/>
    <w:rsid w:val="00376FC1"/>
    <w:rsid w:val="00497D66"/>
    <w:rsid w:val="008364C5"/>
    <w:rsid w:val="009229C9"/>
    <w:rsid w:val="00B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6B6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6B66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4238</Words>
  <Characters>2416</Characters>
  <Application>Microsoft Office Word</Application>
  <DocSecurity>0</DocSecurity>
  <Lines>20</Lines>
  <Paragraphs>13</Paragraphs>
  <ScaleCrop>false</ScaleCrop>
  <Company>Home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Yana</cp:lastModifiedBy>
  <cp:revision>5</cp:revision>
  <dcterms:created xsi:type="dcterms:W3CDTF">2020-03-30T07:04:00Z</dcterms:created>
  <dcterms:modified xsi:type="dcterms:W3CDTF">2020-04-09T09:51:00Z</dcterms:modified>
</cp:coreProperties>
</file>