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E9E41" w14:textId="7AE38057" w:rsidR="00496E27" w:rsidRPr="005070A3" w:rsidRDefault="00573E86" w:rsidP="0081405F">
      <w:pPr>
        <w:jc w:val="both"/>
        <w:rPr>
          <w:rFonts w:ascii="Times New Roman" w:hAnsi="Times New Roman" w:cs="Times New Roman"/>
          <w:b/>
          <w:bCs/>
          <w:sz w:val="28"/>
          <w:szCs w:val="28"/>
          <w:lang w:val="uk-UA"/>
        </w:rPr>
      </w:pPr>
      <w:r w:rsidRPr="005070A3">
        <w:rPr>
          <w:rFonts w:ascii="Times New Roman" w:hAnsi="Times New Roman" w:cs="Times New Roman"/>
          <w:sz w:val="28"/>
          <w:szCs w:val="28"/>
          <w:lang w:val="uk-UA"/>
        </w:rPr>
        <w:t xml:space="preserve">                          </w:t>
      </w:r>
      <w:r w:rsidRPr="005070A3">
        <w:rPr>
          <w:rFonts w:ascii="Times New Roman" w:hAnsi="Times New Roman" w:cs="Times New Roman"/>
          <w:b/>
          <w:bCs/>
          <w:sz w:val="28"/>
          <w:szCs w:val="28"/>
          <w:lang w:val="uk-UA"/>
        </w:rPr>
        <w:t xml:space="preserve">Лекція: </w:t>
      </w:r>
      <w:r w:rsidR="0081405F" w:rsidRPr="005070A3">
        <w:rPr>
          <w:rFonts w:ascii="Times New Roman" w:hAnsi="Times New Roman" w:cs="Times New Roman"/>
          <w:b/>
          <w:bCs/>
          <w:sz w:val="28"/>
          <w:szCs w:val="28"/>
          <w:lang w:val="uk-UA"/>
        </w:rPr>
        <w:t xml:space="preserve"> </w:t>
      </w:r>
      <w:r w:rsidRPr="005070A3">
        <w:rPr>
          <w:rFonts w:ascii="Times New Roman" w:hAnsi="Times New Roman" w:cs="Times New Roman"/>
          <w:b/>
          <w:bCs/>
          <w:sz w:val="28"/>
          <w:szCs w:val="28"/>
          <w:lang w:val="uk-UA"/>
        </w:rPr>
        <w:t>Зобов</w:t>
      </w:r>
      <w:r w:rsidRPr="005070A3">
        <w:rPr>
          <w:rFonts w:ascii="Times New Roman" w:hAnsi="Times New Roman" w:cs="Times New Roman"/>
          <w:b/>
          <w:bCs/>
          <w:sz w:val="28"/>
          <w:szCs w:val="28"/>
          <w:lang w:val="ru-RU"/>
        </w:rPr>
        <w:t>’</w:t>
      </w:r>
      <w:r w:rsidRPr="005070A3">
        <w:rPr>
          <w:rFonts w:ascii="Times New Roman" w:hAnsi="Times New Roman" w:cs="Times New Roman"/>
          <w:b/>
          <w:bCs/>
          <w:sz w:val="28"/>
          <w:szCs w:val="28"/>
          <w:lang w:val="uk-UA"/>
        </w:rPr>
        <w:t>язання з публічної обіцянки винагороди</w:t>
      </w:r>
    </w:p>
    <w:p w14:paraId="43308464" w14:textId="3753B5DD" w:rsidR="00573E86" w:rsidRPr="005070A3" w:rsidRDefault="00573E86" w:rsidP="0081405F">
      <w:pPr>
        <w:jc w:val="both"/>
        <w:rPr>
          <w:rFonts w:ascii="Times New Roman" w:hAnsi="Times New Roman" w:cs="Times New Roman"/>
          <w:b/>
          <w:bCs/>
          <w:sz w:val="28"/>
          <w:szCs w:val="28"/>
          <w:lang w:val="uk-UA"/>
        </w:rPr>
      </w:pPr>
    </w:p>
    <w:p w14:paraId="2174A858" w14:textId="688E2845" w:rsidR="00573E86" w:rsidRPr="005070A3" w:rsidRDefault="00573E86" w:rsidP="0081405F">
      <w:pPr>
        <w:jc w:val="both"/>
        <w:rPr>
          <w:rFonts w:ascii="Times New Roman" w:hAnsi="Times New Roman" w:cs="Times New Roman"/>
          <w:b/>
          <w:bCs/>
          <w:sz w:val="28"/>
          <w:szCs w:val="28"/>
          <w:lang w:val="uk-UA"/>
        </w:rPr>
      </w:pPr>
      <w:r w:rsidRPr="005070A3">
        <w:rPr>
          <w:rFonts w:ascii="Times New Roman" w:hAnsi="Times New Roman" w:cs="Times New Roman"/>
          <w:b/>
          <w:bCs/>
          <w:sz w:val="28"/>
          <w:szCs w:val="28"/>
          <w:lang w:val="uk-UA"/>
        </w:rPr>
        <w:t xml:space="preserve">                                                            П  л  а  н</w:t>
      </w:r>
    </w:p>
    <w:p w14:paraId="30ABC293" w14:textId="48543D45" w:rsidR="00573E86" w:rsidRPr="005070A3" w:rsidRDefault="00573E86" w:rsidP="0081405F">
      <w:pPr>
        <w:jc w:val="both"/>
        <w:rPr>
          <w:rFonts w:ascii="Times New Roman" w:hAnsi="Times New Roman" w:cs="Times New Roman"/>
          <w:b/>
          <w:bCs/>
          <w:sz w:val="28"/>
          <w:szCs w:val="28"/>
          <w:lang w:val="uk-UA"/>
        </w:rPr>
      </w:pPr>
    </w:p>
    <w:p w14:paraId="62BF5EED" w14:textId="686C037D" w:rsidR="00573E86" w:rsidRPr="005070A3" w:rsidRDefault="00573E86" w:rsidP="0081405F">
      <w:pPr>
        <w:pStyle w:val="a3"/>
        <w:numPr>
          <w:ilvl w:val="0"/>
          <w:numId w:val="1"/>
        </w:numPr>
        <w:spacing w:line="360" w:lineRule="auto"/>
        <w:jc w:val="both"/>
        <w:rPr>
          <w:rFonts w:ascii="Times New Roman" w:hAnsi="Times New Roman" w:cs="Times New Roman"/>
          <w:b/>
          <w:bCs/>
          <w:sz w:val="28"/>
          <w:szCs w:val="28"/>
          <w:lang w:val="uk-UA"/>
        </w:rPr>
      </w:pPr>
      <w:r w:rsidRPr="005070A3">
        <w:rPr>
          <w:rFonts w:ascii="Times New Roman" w:hAnsi="Times New Roman" w:cs="Times New Roman"/>
          <w:b/>
          <w:bCs/>
          <w:sz w:val="28"/>
          <w:szCs w:val="28"/>
          <w:lang w:val="uk-UA"/>
        </w:rPr>
        <w:t>Публічна обіцянка винагороди без оголошення конкурсу</w:t>
      </w:r>
    </w:p>
    <w:p w14:paraId="12CEB2EC" w14:textId="6A1F7455" w:rsidR="00573E86" w:rsidRPr="005070A3" w:rsidRDefault="00573E86" w:rsidP="0081405F">
      <w:pPr>
        <w:pStyle w:val="a3"/>
        <w:numPr>
          <w:ilvl w:val="0"/>
          <w:numId w:val="1"/>
        </w:numPr>
        <w:spacing w:line="360" w:lineRule="auto"/>
        <w:jc w:val="both"/>
        <w:rPr>
          <w:rFonts w:ascii="Times New Roman" w:hAnsi="Times New Roman" w:cs="Times New Roman"/>
          <w:b/>
          <w:bCs/>
          <w:sz w:val="28"/>
          <w:szCs w:val="28"/>
          <w:lang w:val="uk-UA"/>
        </w:rPr>
      </w:pPr>
      <w:r w:rsidRPr="005070A3">
        <w:rPr>
          <w:rFonts w:ascii="Times New Roman" w:hAnsi="Times New Roman" w:cs="Times New Roman"/>
          <w:b/>
          <w:bCs/>
          <w:sz w:val="28"/>
          <w:szCs w:val="28"/>
          <w:lang w:val="uk-UA"/>
        </w:rPr>
        <w:t>Публічна обіцянка нагороди за результатами конкурсу</w:t>
      </w:r>
    </w:p>
    <w:p w14:paraId="53BED4A4" w14:textId="5AF089C4" w:rsidR="00573E86" w:rsidRPr="005070A3" w:rsidRDefault="00573E86" w:rsidP="0081405F">
      <w:pPr>
        <w:pStyle w:val="a3"/>
        <w:spacing w:line="360" w:lineRule="auto"/>
        <w:jc w:val="both"/>
        <w:rPr>
          <w:rFonts w:ascii="Times New Roman" w:hAnsi="Times New Roman" w:cs="Times New Roman"/>
          <w:b/>
          <w:bCs/>
          <w:sz w:val="28"/>
          <w:szCs w:val="28"/>
          <w:lang w:val="uk-UA"/>
        </w:rPr>
      </w:pPr>
    </w:p>
    <w:p w14:paraId="58E21D83" w14:textId="056BFE9B" w:rsidR="00573E86" w:rsidRPr="005070A3" w:rsidRDefault="00573E86" w:rsidP="0081405F">
      <w:pPr>
        <w:spacing w:line="360" w:lineRule="auto"/>
        <w:ind w:firstLine="360"/>
        <w:jc w:val="both"/>
        <w:rPr>
          <w:rFonts w:ascii="Times New Roman" w:hAnsi="Times New Roman" w:cs="Times New Roman"/>
          <w:b/>
          <w:bCs/>
          <w:sz w:val="28"/>
          <w:szCs w:val="28"/>
          <w:lang w:val="uk-UA"/>
        </w:rPr>
      </w:pPr>
      <w:r w:rsidRPr="005070A3">
        <w:rPr>
          <w:rFonts w:ascii="Times New Roman" w:hAnsi="Times New Roman" w:cs="Times New Roman"/>
          <w:b/>
          <w:bCs/>
          <w:sz w:val="28"/>
          <w:szCs w:val="28"/>
          <w:lang w:val="uk-UA"/>
        </w:rPr>
        <w:t>Джерела: Цивільний Кодекс України глава 78, Цивільне право: підручник в 2</w:t>
      </w:r>
      <w:bookmarkStart w:id="0" w:name="_GoBack"/>
      <w:bookmarkEnd w:id="0"/>
      <w:r w:rsidRPr="005070A3">
        <w:rPr>
          <w:rFonts w:ascii="Times New Roman" w:hAnsi="Times New Roman" w:cs="Times New Roman"/>
          <w:b/>
          <w:bCs/>
          <w:sz w:val="28"/>
          <w:szCs w:val="28"/>
          <w:lang w:val="uk-UA"/>
        </w:rPr>
        <w:t>-х томах (за редакцією В.І.Борисової, В.Л.Яроцького) 2010 р. – т. 2</w:t>
      </w:r>
    </w:p>
    <w:p w14:paraId="1B13282C" w14:textId="32A0CD75" w:rsidR="00AE69B3" w:rsidRPr="005070A3" w:rsidRDefault="00AE69B3" w:rsidP="00AE69B3">
      <w:pPr>
        <w:pStyle w:val="a3"/>
        <w:numPr>
          <w:ilvl w:val="0"/>
          <w:numId w:val="3"/>
        </w:num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Публічна обіцянка винагороди без оголошення конкурсу</w:t>
      </w:r>
    </w:p>
    <w:p w14:paraId="76DE184C" w14:textId="7FCF92E1" w:rsidR="00573E86" w:rsidRPr="005070A3" w:rsidRDefault="00573E86"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 xml:space="preserve">      </w:t>
      </w:r>
      <w:r w:rsidRPr="005070A3">
        <w:rPr>
          <w:rFonts w:ascii="Times New Roman" w:hAnsi="Times New Roman" w:cs="Times New Roman"/>
          <w:bCs/>
          <w:sz w:val="28"/>
          <w:szCs w:val="28"/>
          <w:lang w:val="uk-UA"/>
        </w:rPr>
        <w:tab/>
        <w:t>Згідно діючого законодавства особа, яка публічно оголосила про виплату винагороди тому, хто здійснить вказану в публічній обіцянці правомірну дію (як то: передання інформації, знайдення речі, знайдення фізичної особи), і виконає вказане завдання в певний строк, в указаному місці, у формі та розмірі визначеному у винагороді.</w:t>
      </w:r>
    </w:p>
    <w:p w14:paraId="5942ADC9" w14:textId="3DBFB00C" w:rsidR="00573E86" w:rsidRPr="005070A3" w:rsidRDefault="00573E86"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r>
      <w:r w:rsidR="00185FBD" w:rsidRPr="005070A3">
        <w:rPr>
          <w:rFonts w:ascii="Times New Roman" w:hAnsi="Times New Roman" w:cs="Times New Roman"/>
          <w:bCs/>
          <w:sz w:val="28"/>
          <w:szCs w:val="28"/>
          <w:lang w:val="uk-UA"/>
        </w:rPr>
        <w:t>Публічна обіцянка винагороди без оголошення конкурсу є недоговірним зобов’язанням, що виникає на підставі звернення до необмеженого кола осіб і полягає у виплаті майнової винагороди, особі (особам), яка досягла зазначеного у повідомленні результату.</w:t>
      </w:r>
    </w:p>
    <w:p w14:paraId="7DD1882F" w14:textId="278CBFB9" w:rsidR="00185FBD" w:rsidRPr="005070A3" w:rsidRDefault="00185FBD"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t>За правовою природою зобов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язання з публічної обіцянки винагороди без оголошення конкурсу є одностороннім правочином, на підставі якого особа, що заявила про винагороду, стає боржником, а будь-яка особа, що відгукнулася – кредитором. Разом з тим, сам по собі публічна обіцянка не призводить до виникнення прав і обов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язків у необмеженого кола осіб, до яких вона звернена.</w:t>
      </w:r>
    </w:p>
    <w:p w14:paraId="5DA3F166" w14:textId="204EA917" w:rsidR="00185FBD" w:rsidRPr="005070A3" w:rsidRDefault="00185FBD"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lastRenderedPageBreak/>
        <w:tab/>
      </w:r>
      <w:r w:rsidR="00BD2481" w:rsidRPr="005070A3">
        <w:rPr>
          <w:rFonts w:ascii="Times New Roman" w:hAnsi="Times New Roman" w:cs="Times New Roman"/>
          <w:bCs/>
          <w:sz w:val="28"/>
          <w:szCs w:val="28"/>
          <w:lang w:val="uk-UA"/>
        </w:rPr>
        <w:t>У разі виконання завдання і передання його результату особа, яка публічно обіцяла винагороду, зобов</w:t>
      </w:r>
      <w:r w:rsidR="00BD2481" w:rsidRPr="005070A3">
        <w:rPr>
          <w:rFonts w:ascii="Times New Roman" w:hAnsi="Times New Roman" w:cs="Times New Roman"/>
          <w:bCs/>
          <w:sz w:val="28"/>
          <w:szCs w:val="28"/>
          <w:lang w:val="ru-RU"/>
        </w:rPr>
        <w:t>’</w:t>
      </w:r>
      <w:r w:rsidR="00BD2481" w:rsidRPr="005070A3">
        <w:rPr>
          <w:rFonts w:ascii="Times New Roman" w:hAnsi="Times New Roman" w:cs="Times New Roman"/>
          <w:bCs/>
          <w:sz w:val="28"/>
          <w:szCs w:val="28"/>
          <w:lang w:val="uk-UA"/>
        </w:rPr>
        <w:t>язана виплатити її. Якщо завдання стосується разової дії, винагорода виплачується особі, яка виконала завдання першою. Якщо таке завдання було виконано кількома особами одночасно, винагорода розподіляється між ними порівну.</w:t>
      </w:r>
    </w:p>
    <w:p w14:paraId="04B9A85C" w14:textId="04077842" w:rsidR="00BD2481" w:rsidRPr="005070A3" w:rsidRDefault="00BD2481"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t>Особа, яка дає публічну обіцянку винагороди, має право встановити строк для виконання завдання. Якщо цей строк визначений, то особа пов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язана обов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язком виплати винагороди повинна виплатити у цей проміжок часу, оскільки закінчення строку для передання результату є однією з підстав припинення вказаного зобов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язання. У випадку, коли строк виконання завдання не встановлений, воно вважається чинним протягом розумного часу відповідно до змісту завдання.</w:t>
      </w:r>
    </w:p>
    <w:p w14:paraId="2D9D239D" w14:textId="1A033B0F" w:rsidR="00BD2481" w:rsidRPr="005070A3" w:rsidRDefault="00BD2481"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r>
      <w:r w:rsidR="00FA0E2C" w:rsidRPr="005070A3">
        <w:rPr>
          <w:rFonts w:ascii="Times New Roman" w:hAnsi="Times New Roman" w:cs="Times New Roman"/>
          <w:bCs/>
          <w:sz w:val="28"/>
          <w:szCs w:val="28"/>
          <w:lang w:val="uk-UA"/>
        </w:rPr>
        <w:t>Враховуючи односторонній характер правочину як підстави виникнення зобов’язання з публічної обіцянки винагороди, особа, яка публічно її обіцяла, має право змінити завдання та умови надання винагороди. Зміна умов не пов’язана з публічним сповіщенням про це, разом з тим тягне за собою певні правові наслідки: 1) відшкодування збитків особі, яка розпочала виконання завдання, вчинених їй у зв’язку зі зміною завдання; 2) відшкодування витрат, понесених особою, яка розпочала до виконання завдання, але у зв’язку зі зміною умов надання винагороди завдання втратило для неї інтерес.</w:t>
      </w:r>
    </w:p>
    <w:p w14:paraId="10186770" w14:textId="6CE83EE8" w:rsidR="00FA0E2C" w:rsidRPr="005070A3" w:rsidRDefault="00FA0E2C"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t>Припиняється зобов’язання з публічної обіцянки винагороди, крім закінчення строку на передання результату, переданням результату особою, яка першою виконала завдання. Особа, яка публічно обіцяла винагороду, має право публічно оголосити про припинення завдання. У цьому разі особа, яка понесла реальні витрати на підготовку до виконання завдання, має право на їх відшкодування. Під реальними розуміються витрати, які забезпечують діяльність, спрямовану на виконання завдання.</w:t>
      </w:r>
    </w:p>
    <w:p w14:paraId="24C23A87" w14:textId="77777777" w:rsidR="00857543" w:rsidRPr="005070A3" w:rsidRDefault="00857543" w:rsidP="0081405F">
      <w:pPr>
        <w:spacing w:line="360" w:lineRule="auto"/>
        <w:jc w:val="both"/>
        <w:rPr>
          <w:rFonts w:ascii="Times New Roman" w:hAnsi="Times New Roman" w:cs="Times New Roman"/>
          <w:bCs/>
          <w:sz w:val="28"/>
          <w:szCs w:val="28"/>
          <w:lang w:val="uk-UA"/>
        </w:rPr>
      </w:pPr>
    </w:p>
    <w:p w14:paraId="4F759DCD" w14:textId="0209D884" w:rsidR="00857543" w:rsidRPr="005070A3" w:rsidRDefault="00857543" w:rsidP="00AE69B3">
      <w:pPr>
        <w:pStyle w:val="a3"/>
        <w:numPr>
          <w:ilvl w:val="0"/>
          <w:numId w:val="3"/>
        </w:num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Публічна обіцянка винагороди за результатами конкурсу</w:t>
      </w:r>
    </w:p>
    <w:p w14:paraId="61523943" w14:textId="093FB750" w:rsidR="00857543" w:rsidRPr="005070A3" w:rsidRDefault="0018029C"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 xml:space="preserve">Особа, яка публічно обіцяла про виплату винагороди або видачу нагороди (премії) за краще виконання роботи або досягнення інших результатів (публічний конкурс), повинна виплатити обумовлену нагороду тому, хто з умовами проведення конкурсу визнаний його переможцем. Публічний конкурс повинен бути спрямований на досягнення будь-яких суспільно-корисних цілей. Конкурс (змагання) має право оголосити фізична або юридична особа (засновник конкурсу). </w:t>
      </w:r>
      <w:r w:rsidR="007E222B" w:rsidRPr="005070A3">
        <w:rPr>
          <w:rFonts w:ascii="Times New Roman" w:hAnsi="Times New Roman" w:cs="Times New Roman"/>
          <w:bCs/>
          <w:sz w:val="28"/>
          <w:szCs w:val="28"/>
          <w:lang w:val="uk-UA"/>
        </w:rPr>
        <w:t xml:space="preserve">Публічний конкурс може бути відкритим або закритим.  Відкритий конкурс оголошується публічно через засоби масової інформації. Засновник конкурсу має право запросити до участі в ньому персональних учасників (закритий конкурс). </w:t>
      </w:r>
    </w:p>
    <w:p w14:paraId="6C681C53" w14:textId="6FD79B0A" w:rsidR="007E222B" w:rsidRPr="005070A3" w:rsidRDefault="007E222B"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Істотні умови конкурсу: предмет конкурсу, нагорода (премія).</w:t>
      </w:r>
    </w:p>
    <w:p w14:paraId="02943F7A" w14:textId="3D63B390" w:rsidR="007E222B" w:rsidRPr="005070A3" w:rsidRDefault="007E222B"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 xml:space="preserve">Предметом конкурсу може бути результат інтелектуальної, творчої діяльності, вчинення певної дії, виконання роботи. </w:t>
      </w:r>
    </w:p>
    <w:p w14:paraId="34EC6891" w14:textId="0F46CC0C" w:rsidR="007E222B" w:rsidRPr="005070A3" w:rsidRDefault="007E222B"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За результатами конкурсу видається нагорода (премія). Кількість призових місць, вид нагороди (сума премії) за кожне призове місце тощо визначаються в умовах конкурсу. Особливістю є те, що нагорода повинна бути спеціально передбачена, а не являти собою винагороду за трудовим договором або  ж авторську винагороду. Нагорода може мати як матеріальний так і моральний характер. Наприклад, нагородою може вважатися звання «лаурет», «кращий спеціаліст», диплом, свідоцтво. Нагорода в матеріальній формі може мати як грошовий вираз, так бути і в іншій не грошовій формі.</w:t>
      </w:r>
    </w:p>
    <w:p w14:paraId="2A0EAF8B" w14:textId="43DDFB26" w:rsidR="00FB1631" w:rsidRPr="005070A3" w:rsidRDefault="00FB1631"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 xml:space="preserve">Строк договору публічної обіцянки за результатами конкурсу не є істотною умовою договору. Засновником конкурсу може бути встановлений строк. </w:t>
      </w:r>
    </w:p>
    <w:p w14:paraId="35F8CAFB" w14:textId="789780B6" w:rsidR="00FB1631" w:rsidRPr="005070A3" w:rsidRDefault="00FB1631"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lastRenderedPageBreak/>
        <w:t>У процесі проведення конкурсу у засновника може виникнути потреба у зміні умов або взагалі у його припиненні. Засновник конкурсу має право змінити його умови до початку конкурсу. Зміна умов конкурсу після його початку не допускається. Про зміну умов конкурсу має бути проголошено в тому ж порядку, в якому було оголошено конкурс. Під початком конкурсу розуміють перший день прийому конкурсних робіт згідно з умовами конкурсу, тобто оголошення про зміну його умов повинно вийти принаймні напередодні вказаного дня. У випадку, якщо у зв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язку зі зміною умов конкурсу участь у ньому для особи втратила інтерес або стала неможливою, ця особа має право на відшкодування засновником витрат, які були понесені нею для підготовки до участі в конкурсі.</w:t>
      </w:r>
    </w:p>
    <w:p w14:paraId="6731C891" w14:textId="4081BC29" w:rsidR="00FB1631" w:rsidRPr="005070A3" w:rsidRDefault="00FB1631" w:rsidP="0081405F">
      <w:pPr>
        <w:spacing w:line="360" w:lineRule="auto"/>
        <w:ind w:firstLine="720"/>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В ЦК передбачається право засновника конкурсу відмовитись від його проведення і вказує на підстави та правові наслідки такої відмови: 1) засновник конкурсу має право відмовитися від його проведення, якщо проведення конкурсу стало неможливим за обставин, які від нього не залежать. Наприклад, коли на конкурс не подані роботи,</w:t>
      </w:r>
      <w:r w:rsidR="000460FD" w:rsidRPr="005070A3">
        <w:rPr>
          <w:rFonts w:ascii="Times New Roman" w:hAnsi="Times New Roman" w:cs="Times New Roman"/>
          <w:bCs/>
          <w:sz w:val="28"/>
          <w:szCs w:val="28"/>
          <w:lang w:val="uk-UA"/>
        </w:rPr>
        <w:t xml:space="preserve"> що відповідають його умовам; 2) відмова засновника конкурсу з інших підстав викликає для нього обов</w:t>
      </w:r>
      <w:r w:rsidR="000460FD" w:rsidRPr="005070A3">
        <w:rPr>
          <w:rFonts w:ascii="Times New Roman" w:hAnsi="Times New Roman" w:cs="Times New Roman"/>
          <w:bCs/>
          <w:sz w:val="28"/>
          <w:szCs w:val="28"/>
          <w:lang w:val="ru-RU"/>
        </w:rPr>
        <w:t>’</w:t>
      </w:r>
      <w:r w:rsidR="000460FD" w:rsidRPr="005070A3">
        <w:rPr>
          <w:rFonts w:ascii="Times New Roman" w:hAnsi="Times New Roman" w:cs="Times New Roman"/>
          <w:bCs/>
          <w:sz w:val="28"/>
          <w:szCs w:val="28"/>
          <w:lang w:val="uk-UA"/>
        </w:rPr>
        <w:t>язок відшкодувати учасникам витрати, які були ними понесені для підготовки до участі у конкурсі. Законодавець не визначає форму оголошення про відмову від конкурсу.</w:t>
      </w:r>
    </w:p>
    <w:p w14:paraId="4C1C47D0" w14:textId="3949A3D5" w:rsidR="000460FD" w:rsidRPr="005070A3" w:rsidRDefault="000460FD"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t>Зобов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 xml:space="preserve">язання із публічного конкурсу має кілька етапів: 1) оголошення конкурсу; 2) подання учасниками конкурсу робіт засновнику; 3) винесення оціночного рішення. На підставі оціночного рішення із числа учасників конкурсу виокремлюється один (або кілька) переможець конкурсу. Переможцем конкурсу є особа, яка досягла найкращого результату. </w:t>
      </w:r>
    </w:p>
    <w:p w14:paraId="591EEFDB" w14:textId="6BDB5350" w:rsidR="000460FD" w:rsidRPr="005070A3" w:rsidRDefault="000460FD"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t>За наслідками оцінювання результатів інтелектуальної, творчої діяльності</w:t>
      </w:r>
      <w:r w:rsidR="0081405F" w:rsidRPr="005070A3">
        <w:rPr>
          <w:rFonts w:ascii="Times New Roman" w:hAnsi="Times New Roman" w:cs="Times New Roman"/>
          <w:bCs/>
          <w:sz w:val="28"/>
          <w:szCs w:val="28"/>
          <w:lang w:val="uk-UA"/>
        </w:rPr>
        <w:t xml:space="preserve">, які подані на конкурс, засновник конкурсу може прийняти таке рішення: 1) </w:t>
      </w:r>
      <w:r w:rsidR="0081405F" w:rsidRPr="005070A3">
        <w:rPr>
          <w:rFonts w:ascii="Times New Roman" w:hAnsi="Times New Roman" w:cs="Times New Roman"/>
          <w:bCs/>
          <w:sz w:val="28"/>
          <w:szCs w:val="28"/>
          <w:lang w:val="uk-UA"/>
        </w:rPr>
        <w:lastRenderedPageBreak/>
        <w:t>присудження усіх призових місць та нагород; 2) присудження окремих призових місць; 3) відмова у присудженні призових місць; 4) присудження заохочувального призу та нагороди. Переможець конкурсу має право вимагати від його засновника виконання свого зобов</w:t>
      </w:r>
      <w:r w:rsidR="0081405F" w:rsidRPr="005070A3">
        <w:rPr>
          <w:rFonts w:ascii="Times New Roman" w:hAnsi="Times New Roman" w:cs="Times New Roman"/>
          <w:bCs/>
          <w:sz w:val="28"/>
          <w:szCs w:val="28"/>
          <w:lang w:val="ru-RU"/>
        </w:rPr>
        <w:t>’</w:t>
      </w:r>
      <w:r w:rsidR="0081405F" w:rsidRPr="005070A3">
        <w:rPr>
          <w:rFonts w:ascii="Times New Roman" w:hAnsi="Times New Roman" w:cs="Times New Roman"/>
          <w:bCs/>
          <w:sz w:val="28"/>
          <w:szCs w:val="28"/>
          <w:lang w:val="uk-UA"/>
        </w:rPr>
        <w:t>язання у строки, встановлені умовами конкурсу. У разі коли предметом конкурсу був результат інтелектуальної, творчої діяльності, засновник має право подальшого його використання лише за згодою переможця конкурсу. Засновник конкурсу має переважне право перед іншими особами на укладення з переможцем конкурсу договору про використання предмета конкурсу.</w:t>
      </w:r>
    </w:p>
    <w:p w14:paraId="581812BB" w14:textId="210570EF" w:rsidR="0081405F" w:rsidRPr="005070A3" w:rsidRDefault="0081405F" w:rsidP="0081405F">
      <w:pPr>
        <w:spacing w:line="360" w:lineRule="auto"/>
        <w:jc w:val="both"/>
        <w:rPr>
          <w:rFonts w:ascii="Times New Roman" w:hAnsi="Times New Roman" w:cs="Times New Roman"/>
          <w:bCs/>
          <w:sz w:val="28"/>
          <w:szCs w:val="28"/>
          <w:lang w:val="uk-UA"/>
        </w:rPr>
      </w:pPr>
      <w:r w:rsidRPr="005070A3">
        <w:rPr>
          <w:rFonts w:ascii="Times New Roman" w:hAnsi="Times New Roman" w:cs="Times New Roman"/>
          <w:bCs/>
          <w:sz w:val="28"/>
          <w:szCs w:val="28"/>
          <w:lang w:val="uk-UA"/>
        </w:rPr>
        <w:tab/>
        <w:t>ЦК закріплює загальне правило про обов</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язок засновника повернути річ, подану на конкурс. Подання учасником конкурсу речі на конкурс не припиняє його право власності на цю річ. Умова конкурсу, за якою засновник конкурсу не повертає його учаснику річ, подану на конкурс, є нікчемною. Засновник конкурсу може залишити у себе річ, подану на конкурс, лише за згодою учасника конкурсу.  Якщо учасник протягом місяця від дня оголошення результатів конкурсу не пред</w:t>
      </w:r>
      <w:r w:rsidRPr="005070A3">
        <w:rPr>
          <w:rFonts w:ascii="Times New Roman" w:hAnsi="Times New Roman" w:cs="Times New Roman"/>
          <w:bCs/>
          <w:sz w:val="28"/>
          <w:szCs w:val="28"/>
          <w:lang w:val="ru-RU"/>
        </w:rPr>
        <w:t>’</w:t>
      </w:r>
      <w:r w:rsidRPr="005070A3">
        <w:rPr>
          <w:rFonts w:ascii="Times New Roman" w:hAnsi="Times New Roman" w:cs="Times New Roman"/>
          <w:bCs/>
          <w:sz w:val="28"/>
          <w:szCs w:val="28"/>
          <w:lang w:val="uk-UA"/>
        </w:rPr>
        <w:t>явив вимогу про повернення йому речі, поданої на конкурс, вважається, що засновник конкурсу має право подальшого володіння нею.</w:t>
      </w:r>
    </w:p>
    <w:p w14:paraId="3A903CBA" w14:textId="77777777" w:rsidR="00FB1631" w:rsidRPr="005070A3" w:rsidRDefault="00FB1631" w:rsidP="0081405F">
      <w:pPr>
        <w:spacing w:line="360" w:lineRule="auto"/>
        <w:ind w:firstLine="720"/>
        <w:jc w:val="both"/>
        <w:rPr>
          <w:rFonts w:ascii="Times New Roman" w:hAnsi="Times New Roman" w:cs="Times New Roman"/>
          <w:b/>
          <w:bCs/>
          <w:sz w:val="28"/>
          <w:szCs w:val="28"/>
          <w:lang w:val="uk-UA"/>
        </w:rPr>
      </w:pPr>
    </w:p>
    <w:sectPr w:rsidR="00FB1631" w:rsidRPr="005070A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1FD"/>
    <w:multiLevelType w:val="hybridMultilevel"/>
    <w:tmpl w:val="BB66B0FE"/>
    <w:lvl w:ilvl="0" w:tplc="09AA0226">
      <w:start w:val="1"/>
      <w:numFmt w:val="decimal"/>
      <w:lvlText w:val="%1."/>
      <w:lvlJc w:val="left"/>
      <w:pPr>
        <w:ind w:left="840" w:hanging="360"/>
      </w:pPr>
      <w:rPr>
        <w:rFonts w:hint="default"/>
      </w:rPr>
    </w:lvl>
    <w:lvl w:ilvl="1" w:tplc="20000019" w:tentative="1">
      <w:start w:val="1"/>
      <w:numFmt w:val="lowerLetter"/>
      <w:lvlText w:val="%2."/>
      <w:lvlJc w:val="left"/>
      <w:pPr>
        <w:ind w:left="1560" w:hanging="360"/>
      </w:pPr>
    </w:lvl>
    <w:lvl w:ilvl="2" w:tplc="2000001B" w:tentative="1">
      <w:start w:val="1"/>
      <w:numFmt w:val="lowerRoman"/>
      <w:lvlText w:val="%3."/>
      <w:lvlJc w:val="right"/>
      <w:pPr>
        <w:ind w:left="2280" w:hanging="180"/>
      </w:pPr>
    </w:lvl>
    <w:lvl w:ilvl="3" w:tplc="2000000F" w:tentative="1">
      <w:start w:val="1"/>
      <w:numFmt w:val="decimal"/>
      <w:lvlText w:val="%4."/>
      <w:lvlJc w:val="left"/>
      <w:pPr>
        <w:ind w:left="3000" w:hanging="360"/>
      </w:pPr>
    </w:lvl>
    <w:lvl w:ilvl="4" w:tplc="20000019" w:tentative="1">
      <w:start w:val="1"/>
      <w:numFmt w:val="lowerLetter"/>
      <w:lvlText w:val="%5."/>
      <w:lvlJc w:val="left"/>
      <w:pPr>
        <w:ind w:left="3720" w:hanging="360"/>
      </w:pPr>
    </w:lvl>
    <w:lvl w:ilvl="5" w:tplc="2000001B" w:tentative="1">
      <w:start w:val="1"/>
      <w:numFmt w:val="lowerRoman"/>
      <w:lvlText w:val="%6."/>
      <w:lvlJc w:val="right"/>
      <w:pPr>
        <w:ind w:left="4440" w:hanging="180"/>
      </w:pPr>
    </w:lvl>
    <w:lvl w:ilvl="6" w:tplc="2000000F" w:tentative="1">
      <w:start w:val="1"/>
      <w:numFmt w:val="decimal"/>
      <w:lvlText w:val="%7."/>
      <w:lvlJc w:val="left"/>
      <w:pPr>
        <w:ind w:left="5160" w:hanging="360"/>
      </w:pPr>
    </w:lvl>
    <w:lvl w:ilvl="7" w:tplc="20000019" w:tentative="1">
      <w:start w:val="1"/>
      <w:numFmt w:val="lowerLetter"/>
      <w:lvlText w:val="%8."/>
      <w:lvlJc w:val="left"/>
      <w:pPr>
        <w:ind w:left="5880" w:hanging="360"/>
      </w:pPr>
    </w:lvl>
    <w:lvl w:ilvl="8" w:tplc="2000001B" w:tentative="1">
      <w:start w:val="1"/>
      <w:numFmt w:val="lowerRoman"/>
      <w:lvlText w:val="%9."/>
      <w:lvlJc w:val="right"/>
      <w:pPr>
        <w:ind w:left="6600" w:hanging="180"/>
      </w:pPr>
    </w:lvl>
  </w:abstractNum>
  <w:abstractNum w:abstractNumId="1">
    <w:nsid w:val="417A3635"/>
    <w:multiLevelType w:val="hybridMultilevel"/>
    <w:tmpl w:val="88FA40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B541E42"/>
    <w:multiLevelType w:val="hybridMultilevel"/>
    <w:tmpl w:val="3B963E00"/>
    <w:lvl w:ilvl="0" w:tplc="3FCAA22E">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27"/>
    <w:rsid w:val="000460FD"/>
    <w:rsid w:val="0018029C"/>
    <w:rsid w:val="00185FBD"/>
    <w:rsid w:val="00496E27"/>
    <w:rsid w:val="005070A3"/>
    <w:rsid w:val="00573E86"/>
    <w:rsid w:val="007E222B"/>
    <w:rsid w:val="0081405F"/>
    <w:rsid w:val="00857543"/>
    <w:rsid w:val="00AE69B3"/>
    <w:rsid w:val="00BD2481"/>
    <w:rsid w:val="00FA0E2C"/>
    <w:rsid w:val="00FB16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E86"/>
    <w:pPr>
      <w:ind w:left="720"/>
      <w:contextualSpacing/>
    </w:pPr>
  </w:style>
  <w:style w:type="paragraph" w:styleId="a4">
    <w:name w:val="Balloon Text"/>
    <w:basedOn w:val="a"/>
    <w:link w:val="a5"/>
    <w:uiPriority w:val="99"/>
    <w:semiHidden/>
    <w:unhideWhenUsed/>
    <w:rsid w:val="00185F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5F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E86"/>
    <w:pPr>
      <w:ind w:left="720"/>
      <w:contextualSpacing/>
    </w:pPr>
  </w:style>
  <w:style w:type="paragraph" w:styleId="a4">
    <w:name w:val="Balloon Text"/>
    <w:basedOn w:val="a"/>
    <w:link w:val="a5"/>
    <w:uiPriority w:val="99"/>
    <w:semiHidden/>
    <w:unhideWhenUsed/>
    <w:rsid w:val="00185F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5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Юлия Филонова</cp:lastModifiedBy>
  <cp:revision>2</cp:revision>
  <dcterms:created xsi:type="dcterms:W3CDTF">2020-03-31T14:12:00Z</dcterms:created>
  <dcterms:modified xsi:type="dcterms:W3CDTF">2020-03-31T14:12:00Z</dcterms:modified>
</cp:coreProperties>
</file>