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36D9" w14:textId="6D3A75D5" w:rsidR="00BF7FE3" w:rsidRPr="00BF7FE3" w:rsidRDefault="00BF7FE3">
      <w:pP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</w:pPr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>Лекція: Спільна власність</w:t>
      </w:r>
    </w:p>
    <w:p w14:paraId="76C751E7" w14:textId="55C5FE7B" w:rsidR="00BF7FE3" w:rsidRPr="00BF7FE3" w:rsidRDefault="00BF7FE3">
      <w:pP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</w:pPr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>Питання до теми:</w:t>
      </w:r>
    </w:p>
    <w:p w14:paraId="27C09604" w14:textId="40034D7F" w:rsidR="00BF7FE3" w:rsidRDefault="00BF7FE3" w:rsidP="00BF7FE3">
      <w:pPr>
        <w:pStyle w:val="a4"/>
        <w:numPr>
          <w:ilvl w:val="0"/>
          <w:numId w:val="4"/>
        </w:numP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  <w:t>Загальна характеристика права спільної власності</w:t>
      </w:r>
    </w:p>
    <w:p w14:paraId="59C0E564" w14:textId="6137B19B" w:rsidR="00BF7FE3" w:rsidRDefault="00BF7FE3" w:rsidP="00BF7FE3">
      <w:pPr>
        <w:pStyle w:val="a4"/>
        <w:numPr>
          <w:ilvl w:val="0"/>
          <w:numId w:val="4"/>
        </w:numP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  <w:t>Спільна часткова власність</w:t>
      </w:r>
    </w:p>
    <w:p w14:paraId="30A56319" w14:textId="3B1B8F96" w:rsidR="00BF7FE3" w:rsidRDefault="00BF7FE3" w:rsidP="00BF7FE3">
      <w:pPr>
        <w:pStyle w:val="a4"/>
        <w:numPr>
          <w:ilvl w:val="0"/>
          <w:numId w:val="4"/>
        </w:numP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</w:pPr>
      <w: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  <w:t>Спільна сумісна власність</w:t>
      </w:r>
    </w:p>
    <w:p w14:paraId="2B602FE1" w14:textId="77777777" w:rsidR="00BF7FE3" w:rsidRPr="00BF7FE3" w:rsidRDefault="00BF7FE3" w:rsidP="00BF7FE3">
      <w:pPr>
        <w:pStyle w:val="a4"/>
        <w:numPr>
          <w:ilvl w:val="0"/>
          <w:numId w:val="4"/>
        </w:numPr>
        <w:rPr>
          <w:rFonts w:ascii="Helvetica Neue" w:hAnsi="Helvetica Neue"/>
          <w:b/>
          <w:bCs/>
          <w:color w:val="3A3A3A"/>
          <w:sz w:val="21"/>
          <w:szCs w:val="21"/>
          <w:shd w:val="clear" w:color="auto" w:fill="FFFFFF"/>
          <w:lang w:val="uk-UA"/>
        </w:rPr>
      </w:pPr>
    </w:p>
    <w:p w14:paraId="0B2166DF" w14:textId="44DBFB47" w:rsidR="00BF7FE3" w:rsidRPr="00BF7FE3" w:rsidRDefault="00BF7FE3">
      <w:pP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uk-UA"/>
        </w:rPr>
        <w:t xml:space="preserve">1.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Загальна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характеристика та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види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права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спільної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власності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 </w:t>
      </w:r>
    </w:p>
    <w:p w14:paraId="1FE7BEC7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Концепція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результатом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рецепції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римського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права, 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інституту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кондомініум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яке означало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декількох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одну і ту саму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річ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188EA5EC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Вітчизняне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законодавство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подібно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законодавства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країн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континентального права,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виходить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того,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тих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випадках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коли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існує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кожному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них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належить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Натомість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країнах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загального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такому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усього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тобто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100 %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3380091B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Спільна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–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існування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те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2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більше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1EA1764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Ознаки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1C903537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1)     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Єдність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об’єкта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Як правило,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неподільна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річ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183 ЦК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Однак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випадках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передбачених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договором, законом, актом органу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влади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наприклад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документ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приватизацію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подільні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речі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сукупність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речей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являють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собою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єдність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розташування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набуття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6356494F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2)     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Множинність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наявність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2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більше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Суб’єктами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особи, держава,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територіальні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громади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0473CBC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Структура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відносин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47F1B464" w14:textId="77777777" w:rsidR="00BF7FE3" w:rsidRPr="00BF7FE3" w:rsidRDefault="00BF7FE3" w:rsidP="00BF7FE3">
      <w:pPr>
        <w:numPr>
          <w:ilvl w:val="0"/>
          <w:numId w:val="1"/>
        </w:numPr>
        <w:shd w:val="clear" w:color="auto" w:fill="F9FE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Внутрішні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відносини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Вони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правовідносинами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оскільки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конкретними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персоніфікованими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суб’єктами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зміст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полягає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володіти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користуватися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розпоряджатися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також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реалізовувати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кожну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вказану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правомочність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згодою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1EA22DBC" w14:textId="77777777" w:rsidR="00BF7FE3" w:rsidRPr="00BF7FE3" w:rsidRDefault="00BF7FE3" w:rsidP="00BF7FE3">
      <w:pPr>
        <w:numPr>
          <w:ilvl w:val="0"/>
          <w:numId w:val="1"/>
        </w:numPr>
        <w:shd w:val="clear" w:color="auto" w:fill="F9FE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Зовнішні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відносини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особами,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абсолютними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зміст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полягає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вільно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здійснювати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йому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 в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будь-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порушувати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конкретного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EC13926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заборонених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законом (ч. 3 ст. 355 ЦК).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Приклади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: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набуття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одним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подружжя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шлюбу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;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кількома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приватизація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державного майна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65BA34F4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Види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338E5FCA" w14:textId="77777777" w:rsidR="00BF7FE3" w:rsidRPr="00BF7FE3" w:rsidRDefault="00BF7FE3" w:rsidP="00BF7FE3">
      <w:pPr>
        <w:numPr>
          <w:ilvl w:val="0"/>
          <w:numId w:val="2"/>
        </w:numPr>
        <w:shd w:val="clear" w:color="auto" w:fill="F9FE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Спільна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часткова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-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двох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більше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з них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визначається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арифметично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 правило, простим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дробом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(1/2, 1/3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77FD987A" w14:textId="77777777" w:rsidR="00BF7FE3" w:rsidRPr="00BF7FE3" w:rsidRDefault="00BF7FE3" w:rsidP="00BF7FE3">
      <w:pPr>
        <w:numPr>
          <w:ilvl w:val="0"/>
          <w:numId w:val="2"/>
        </w:numPr>
        <w:shd w:val="clear" w:color="auto" w:fill="F9FE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Спільна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сумісна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–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2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більше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з них.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Ніхто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знає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йому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належить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доки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постало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питання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56CF8731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>Відносини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сумісної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виключенням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вони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внаслідок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прямої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вказівки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договору, як правило, вони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обумовлені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наявністю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особливих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особистих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довірчих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Тому в ЦК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закріплена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презумпція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7C16800" w14:textId="012FA1D6" w:rsidR="00BF7FE3" w:rsidRPr="00BF7FE3" w:rsidRDefault="00BF7FE3">
      <w:pP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2.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Спільна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часткова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власність</w:t>
      </w:r>
      <w:proofErr w:type="spellEnd"/>
    </w:p>
    <w:p w14:paraId="2D61F84D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356.</w:t>
      </w:r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 Право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власності</w:t>
      </w:r>
      <w:proofErr w:type="spellEnd"/>
    </w:p>
    <w:p w14:paraId="227F718C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Власність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двох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чи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більше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осіб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визначенням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часток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кожного з них у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спільною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частковою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власністю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0E33DDF5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Суб'єктами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можуть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фізичні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особи,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юридичні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особи, держава,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територіальні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громади</w:t>
      </w:r>
      <w:proofErr w:type="spellEnd"/>
      <w:r w:rsidRPr="00BF7FE3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6D6A82A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Отже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головною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особливістю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арифметичне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3FE3AE3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-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арифметичний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показник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 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(а не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площі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вартості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називають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фіксує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абстрактний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показник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того,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володіти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користуватися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розпоряджатися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При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виокремлення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означає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володіють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реального майна (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конкретними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кімнатами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будинку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приміщеннями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виробничого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цеху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6B25D208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теорії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зручності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крім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виділяють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й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реальну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4F76642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Реальна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конкретному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речі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пропорційна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ідеальній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частці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виокремлюється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таких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випадках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421AB470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коли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визначають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порядок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перетворюється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вимір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приміщень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пропорційна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ідеальній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частці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15890AF3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коли один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бажає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виділити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свою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</w:t>
      </w:r>
    </w:p>
    <w:p w14:paraId="4575D316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коли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відбувається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майна.</w:t>
      </w:r>
    </w:p>
    <w:p w14:paraId="542FBF6B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Визначення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розміру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часток</w:t>
      </w:r>
      <w:proofErr w:type="spellEnd"/>
    </w:p>
    <w:p w14:paraId="46CF5033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Зі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змісту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ст. 357 ЦК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випливає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:</w:t>
      </w:r>
    </w:p>
    <w:p w14:paraId="1A4496B0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1)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рівними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встановлено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договором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законом;</w:t>
      </w:r>
    </w:p>
    <w:p w14:paraId="54558F77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2)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Однією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збільшення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поліпшень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за таких умов:</w:t>
      </w:r>
    </w:p>
    <w:p w14:paraId="716DA48A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поліпшення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невідокремленими</w:t>
      </w:r>
      <w:proofErr w:type="spellEnd"/>
    </w:p>
    <w:p w14:paraId="164E39F2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вони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зроблені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кошт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не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рахунок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</w:p>
    <w:p w14:paraId="5211BD79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вони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зроблені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згодою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порушення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погодженого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порядку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використання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</w:t>
      </w:r>
    </w:p>
    <w:p w14:paraId="0D9EAC84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Здійснення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власності</w:t>
      </w:r>
      <w:proofErr w:type="spellEnd"/>
    </w:p>
    <w:p w14:paraId="1B4D0A77" w14:textId="77777777" w:rsidR="00BF7FE3" w:rsidRPr="00BF7FE3" w:rsidRDefault="00BF7FE3" w:rsidP="00BF7FE3">
      <w:pPr>
        <w:numPr>
          <w:ilvl w:val="0"/>
          <w:numId w:val="3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Володіння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та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користування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спільним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майном</w:t>
      </w:r>
      <w:proofErr w:type="spellEnd"/>
    </w:p>
    <w:p w14:paraId="759727C8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 xml:space="preserve">(а)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взаємною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згодою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укласти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собою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договір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порядку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2DE1878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йому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володіння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тієї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в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натурі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частці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5D5D9453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отримання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плодів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продукції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доходів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пропорційно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359)</w:t>
      </w:r>
    </w:p>
    <w:p w14:paraId="6A102119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(г)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зобов’язаний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нести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витрати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утримання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пропорційно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ідеальній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частці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360)</w:t>
      </w:r>
    </w:p>
    <w:p w14:paraId="07D299F9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Розпорядження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часткою</w:t>
      </w:r>
      <w:proofErr w:type="spellEnd"/>
    </w:p>
    <w:p w14:paraId="3569896C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учасник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самостійно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долю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йому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вільно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відчужувати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так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 за договорами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дарування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ренти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продаж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публічних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торгів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тощо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.</w:t>
      </w:r>
    </w:p>
    <w:p w14:paraId="2CC9D545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кожен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учасник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продати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будь-кому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56077428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продажу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співвласник-продавець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повинен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враховувати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переважне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(ст. 362).</w:t>
      </w:r>
    </w:p>
    <w:p w14:paraId="7700164B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Переважне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викуп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разі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відчуження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 (не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для продажу</w:t>
      </w:r>
      <w:proofErr w:type="gram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рівних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умовах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gram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Для того,</w:t>
      </w:r>
      <w:proofErr w:type="gram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щоб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порушити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бажає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продати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зобов’язаний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письмово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повідомити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свій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намір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9642D70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Переважне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існує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нерухомого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одного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рухомого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-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десяти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днів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дня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отримання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повідомлення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спливом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строків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погодяться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викуп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продавець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продати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свою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іншій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32FF4A1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Випадки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порушення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переважного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права:</w:t>
      </w:r>
    </w:p>
    <w:p w14:paraId="11C8C79E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продаж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письмового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попередження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намір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продати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свою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ціну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умови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продажу;</w:t>
      </w:r>
    </w:p>
    <w:p w14:paraId="5E9EA714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укладання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купівлі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-продажу без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одержання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повідомлення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переважного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купівлі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спливу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одного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нерухомого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і десяти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днів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рухомого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дня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отримання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повідомлення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 продаж</w:t>
      </w:r>
      <w:proofErr w:type="gram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077C8A54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продаж проведено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істотно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нижчого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більш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легких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умовах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пропонувалося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FD366BF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Наслідок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порушення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переважного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права:</w:t>
      </w: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звернутися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 суду</w:t>
      </w:r>
      <w:proofErr w:type="gram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позовом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переведення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нього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і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Відповідачем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справі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новий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Позовна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давність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1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C1989FF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Виділ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частки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праві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власності</w:t>
      </w:r>
      <w:proofErr w:type="spellEnd"/>
    </w:p>
    <w:p w14:paraId="7ACFE8F4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вимогу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1528D972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натурі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річ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неподільною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унеможливлює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натурі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одержання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грошової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компенсації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 xml:space="preserve">коли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річ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неподільною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описані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ППВСУ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04.10.1991 № 7 «Про практику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застосування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судами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законодавства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регулює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приватної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громадян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жилий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будинок</w:t>
      </w:r>
      <w:proofErr w:type="spellEnd"/>
      <w:proofErr w:type="gram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» .</w:t>
      </w:r>
      <w:proofErr w:type="gramEnd"/>
    </w:p>
    <w:p w14:paraId="5B2AA72E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наслідки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: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припиняється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якому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виділена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грошова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компенсації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Для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зберігається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E5C7578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Поділ</w:t>
      </w:r>
      <w:proofErr w:type="spellEnd"/>
      <w:r w:rsidRPr="00BF7FE3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майна</w:t>
      </w:r>
    </w:p>
    <w:p w14:paraId="0C132356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письмовим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нотаріально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посвідченим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договором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співвласниками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разі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недосягнення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ними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домовленості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за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рішенням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суду;</w:t>
      </w:r>
    </w:p>
    <w:p w14:paraId="553F4A32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натурі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відсутня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технічна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можливість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здійснити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пропорційно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то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співвласники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яким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виділяється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менша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натурі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ніж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їхня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ідеальна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частка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мають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грошову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компенсацію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різниці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80E4397" w14:textId="77777777" w:rsidR="00BF7FE3" w:rsidRPr="00BF7FE3" w:rsidRDefault="00BF7FE3" w:rsidP="00BF7FE3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наслідок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поділу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припинення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часткової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власності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всіх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співвласників</w:t>
      </w:r>
      <w:proofErr w:type="spellEnd"/>
      <w:r w:rsidRPr="00BF7FE3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BE290BC" w14:textId="58A24845" w:rsidR="00BF7FE3" w:rsidRPr="00BF7FE3" w:rsidRDefault="00BF7FE3">
      <w:pPr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  <w:lang w:val="en-US"/>
        </w:rPr>
        <w:t xml:space="preserve">3.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Спільна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сумісна</w:t>
      </w:r>
      <w:proofErr w:type="spellEnd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BF7FE3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власність</w:t>
      </w:r>
      <w:proofErr w:type="spellEnd"/>
    </w:p>
    <w:p w14:paraId="1B451FE3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</w:t>
      </w:r>
      <w:bookmarkStart w:id="0" w:name="_GoBack"/>
      <w:bookmarkEnd w:id="0"/>
      <w:r>
        <w:rPr>
          <w:rFonts w:ascii="Helvetica Neue" w:hAnsi="Helvetica Neue"/>
          <w:color w:val="3A3A3A"/>
          <w:sz w:val="21"/>
          <w:szCs w:val="21"/>
        </w:rPr>
        <w:t>умісна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далі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- ССВ)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двох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більше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кожного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5E4F9AB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ССВ:</w:t>
      </w:r>
    </w:p>
    <w:p w14:paraId="7C4AE36B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кожним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шлюбу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600378F4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різної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проживання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шлюбу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74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Сімейного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кодексу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);</w:t>
      </w:r>
    </w:p>
    <w:p w14:paraId="004416DD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набутого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результаті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грошові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кошти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членів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сім'ї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4F2DD72E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(г)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багатоквартирному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будинку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382 ЦК). Тут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передбачені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суттєві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квартир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багатоквартирному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будинку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ними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сумісної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див. ЗУ «Про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багатоквартирному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будинку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».</w:t>
      </w:r>
    </w:p>
    <w:p w14:paraId="2CA4D0B6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Здійснення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права ССВ.</w:t>
      </w:r>
    </w:p>
    <w:p w14:paraId="49E7A58A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Володіння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користування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>.</w:t>
      </w:r>
    </w:p>
    <w:p w14:paraId="56C68DA7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ССВ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конкретно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кожного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Кожен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володіти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в ССВ,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кількості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Головне,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користуванню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погоджені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обмежували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прав.</w:t>
      </w:r>
    </w:p>
    <w:p w14:paraId="1A351670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  <w:u w:val="single"/>
        </w:rPr>
        <w:t>Розпорядження</w:t>
      </w:r>
      <w:proofErr w:type="spellEnd"/>
      <w:r>
        <w:rPr>
          <w:rFonts w:ascii="Helvetica Neue" w:hAnsi="Helvetica Neue"/>
          <w:color w:val="3A3A3A"/>
          <w:sz w:val="21"/>
          <w:szCs w:val="21"/>
          <w:u w:val="single"/>
        </w:rPr>
        <w:t>.</w:t>
      </w:r>
    </w:p>
    <w:p w14:paraId="01AA8734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ССВ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арифметично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позбавлені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відчужувати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ССВ.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Натомість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кожен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розпоряджатися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всім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спільним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майном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  <w:u w:val="single"/>
        </w:rPr>
        <w:t> </w:t>
      </w:r>
      <w:r>
        <w:rPr>
          <w:rFonts w:ascii="Helvetica Neue" w:hAnsi="Helvetica Neue"/>
          <w:color w:val="3A3A3A"/>
          <w:sz w:val="21"/>
          <w:szCs w:val="21"/>
        </w:rPr>
        <w:t xml:space="preserve">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презюмується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! (ч. 2 ст. 369).</w:t>
      </w:r>
    </w:p>
    <w:p w14:paraId="0611986E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Форма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6C1172D3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підлягають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746F08B1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проста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одним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цінного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майна.</w:t>
      </w:r>
    </w:p>
    <w:p w14:paraId="62AD6F8D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дрібних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побутових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одним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29D5ACD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згоди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9B1377F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Виділ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частки</w:t>
      </w:r>
      <w:proofErr w:type="spellEnd"/>
    </w:p>
    <w:p w14:paraId="7EAAF8D8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Style w:val="apple-converted-space"/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>виділ</w:t>
      </w:r>
      <w:proofErr w:type="spellEnd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>вимогу</w:t>
      </w:r>
      <w:proofErr w:type="spellEnd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>співвласника</w:t>
      </w:r>
      <w:proofErr w:type="spellEnd"/>
      <w:r>
        <w:rPr>
          <w:rStyle w:val="apple-converted-space"/>
          <w:rFonts w:ascii="Helvetica Neue" w:hAnsi="Helvetica Neue"/>
          <w:color w:val="3A3A3A"/>
          <w:sz w:val="21"/>
          <w:szCs w:val="21"/>
        </w:rPr>
        <w:t>;</w:t>
      </w:r>
    </w:p>
    <w:p w14:paraId="00198463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виділ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2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етапи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спочатку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ідеальна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кожного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потім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виділ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натурі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DF87EA3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другий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етап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правилами,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тотожними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виділу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11F27A7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Поділ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спільного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майна</w:t>
      </w:r>
    </w:p>
    <w:p w14:paraId="534123A2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(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 xml:space="preserve">а) 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договором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недосягнення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домовленості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суду.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нерухоме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укладається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500E256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2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етапи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спочатку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ідеальна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потім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 реальна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натурі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DF7A09D" w14:textId="77777777" w:rsidR="00BF7FE3" w:rsidRDefault="00BF7FE3" w:rsidP="00BF7FE3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сумісної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співвласників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4BB5A54" w14:textId="77777777" w:rsidR="00BF7FE3" w:rsidRDefault="00BF7FE3"/>
    <w:sectPr w:rsidR="00BF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7509"/>
    <w:multiLevelType w:val="multilevel"/>
    <w:tmpl w:val="3A6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F6926"/>
    <w:multiLevelType w:val="hybridMultilevel"/>
    <w:tmpl w:val="8FC0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3D10"/>
    <w:multiLevelType w:val="multilevel"/>
    <w:tmpl w:val="BAD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80447"/>
    <w:multiLevelType w:val="multilevel"/>
    <w:tmpl w:val="A9A6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E3"/>
    <w:rsid w:val="00B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6CA"/>
  <w15:chartTrackingRefBased/>
  <w15:docId w15:val="{9A16F74D-20DB-4D7B-981C-7545274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FE3"/>
    <w:pPr>
      <w:ind w:left="720"/>
      <w:contextualSpacing/>
    </w:pPr>
  </w:style>
  <w:style w:type="paragraph" w:customStyle="1" w:styleId="rvps2">
    <w:name w:val="rvps2"/>
    <w:basedOn w:val="a"/>
    <w:rsid w:val="00BF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1</cp:revision>
  <dcterms:created xsi:type="dcterms:W3CDTF">2020-03-25T18:55:00Z</dcterms:created>
  <dcterms:modified xsi:type="dcterms:W3CDTF">2020-03-25T19:01:00Z</dcterms:modified>
</cp:coreProperties>
</file>