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2169E" w14:textId="1FBAD13A" w:rsidR="009F3B91" w:rsidRPr="009F3B91" w:rsidRDefault="009F3B91">
      <w:pPr>
        <w:rPr>
          <w:rFonts w:cstheme="minorHAnsi"/>
          <w:b/>
          <w:bCs/>
          <w:sz w:val="24"/>
          <w:szCs w:val="24"/>
          <w:u w:val="single"/>
          <w:lang w:val="uk-UA"/>
        </w:rPr>
      </w:pPr>
      <w:r w:rsidRPr="009F3B91">
        <w:rPr>
          <w:rFonts w:cstheme="minorHAnsi"/>
          <w:b/>
          <w:bCs/>
          <w:sz w:val="24"/>
          <w:szCs w:val="24"/>
          <w:u w:val="single"/>
          <w:lang w:val="uk-UA"/>
        </w:rPr>
        <w:t>Лекція: Спадкування за законом. Здійснення спадкових прав</w:t>
      </w:r>
    </w:p>
    <w:p w14:paraId="5CF96ACC" w14:textId="75772D70" w:rsidR="009F3B91" w:rsidRPr="009F3B91" w:rsidRDefault="009F3B91">
      <w:pPr>
        <w:rPr>
          <w:rFonts w:cstheme="minorHAnsi"/>
          <w:b/>
          <w:bCs/>
          <w:sz w:val="24"/>
          <w:szCs w:val="24"/>
          <w:u w:val="single"/>
          <w:lang w:val="uk-UA"/>
        </w:rPr>
      </w:pPr>
      <w:r w:rsidRPr="009F3B91">
        <w:rPr>
          <w:rFonts w:cstheme="minorHAnsi"/>
          <w:b/>
          <w:bCs/>
          <w:sz w:val="24"/>
          <w:szCs w:val="24"/>
          <w:u w:val="single"/>
          <w:lang w:val="uk-UA"/>
        </w:rPr>
        <w:t>Питання до теми:</w:t>
      </w:r>
    </w:p>
    <w:p w14:paraId="2A289D67" w14:textId="77777777" w:rsidR="009F3B91" w:rsidRPr="009F3B91" w:rsidRDefault="009F3B91" w:rsidP="009F3B91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  <w:lang w:val="uk-UA"/>
        </w:rPr>
      </w:pPr>
      <w:proofErr w:type="spellStart"/>
      <w:r w:rsidRPr="009F3B91">
        <w:rPr>
          <w:rFonts w:cstheme="minorHAnsi"/>
          <w:b/>
          <w:bCs/>
          <w:color w:val="3A3A3A"/>
          <w:sz w:val="24"/>
          <w:szCs w:val="24"/>
          <w:u w:val="single"/>
          <w:shd w:val="clear" w:color="auto" w:fill="FFFFFF"/>
        </w:rPr>
        <w:t>Загальна</w:t>
      </w:r>
      <w:proofErr w:type="spellEnd"/>
      <w:r w:rsidRPr="009F3B91">
        <w:rPr>
          <w:rFonts w:cstheme="minorHAnsi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 характеристика </w:t>
      </w:r>
      <w:proofErr w:type="spellStart"/>
      <w:r w:rsidRPr="009F3B91">
        <w:rPr>
          <w:rFonts w:cstheme="minorHAnsi"/>
          <w:b/>
          <w:bCs/>
          <w:color w:val="3A3A3A"/>
          <w:sz w:val="24"/>
          <w:szCs w:val="24"/>
          <w:u w:val="single"/>
          <w:shd w:val="clear" w:color="auto" w:fill="FFFFFF"/>
        </w:rPr>
        <w:t>спадкування</w:t>
      </w:r>
      <w:proofErr w:type="spellEnd"/>
      <w:r w:rsidRPr="009F3B91">
        <w:rPr>
          <w:rFonts w:cstheme="minorHAnsi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 за законом </w:t>
      </w:r>
    </w:p>
    <w:p w14:paraId="732B3DE0" w14:textId="7ACBFC52" w:rsidR="009F3B91" w:rsidRPr="009F3B91" w:rsidRDefault="009F3B91" w:rsidP="009F3B91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  <w:lang w:val="uk-UA"/>
        </w:rPr>
      </w:pPr>
      <w:proofErr w:type="spellStart"/>
      <w:r w:rsidRPr="009F3B91">
        <w:rPr>
          <w:rFonts w:cstheme="minorHAnsi"/>
          <w:b/>
          <w:bCs/>
          <w:color w:val="3A3A3A"/>
          <w:sz w:val="24"/>
          <w:szCs w:val="24"/>
          <w:u w:val="single"/>
          <w:shd w:val="clear" w:color="auto" w:fill="FFFFFF"/>
        </w:rPr>
        <w:t>Етапи</w:t>
      </w:r>
      <w:proofErr w:type="spellEnd"/>
      <w:r w:rsidRPr="009F3B91">
        <w:rPr>
          <w:rFonts w:cstheme="minorHAnsi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F3B91">
        <w:rPr>
          <w:rFonts w:cstheme="minorHAnsi"/>
          <w:b/>
          <w:bCs/>
          <w:color w:val="3A3A3A"/>
          <w:sz w:val="24"/>
          <w:szCs w:val="24"/>
          <w:u w:val="single"/>
          <w:shd w:val="clear" w:color="auto" w:fill="FFFFFF"/>
        </w:rPr>
        <w:t>здійснення</w:t>
      </w:r>
      <w:proofErr w:type="spellEnd"/>
      <w:r w:rsidRPr="009F3B91">
        <w:rPr>
          <w:rFonts w:cstheme="minorHAnsi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F3B91">
        <w:rPr>
          <w:rFonts w:cstheme="minorHAnsi"/>
          <w:b/>
          <w:bCs/>
          <w:color w:val="3A3A3A"/>
          <w:sz w:val="24"/>
          <w:szCs w:val="24"/>
          <w:u w:val="single"/>
          <w:shd w:val="clear" w:color="auto" w:fill="FFFFFF"/>
        </w:rPr>
        <w:t>спадкових</w:t>
      </w:r>
      <w:proofErr w:type="spellEnd"/>
      <w:r w:rsidRPr="009F3B91">
        <w:rPr>
          <w:rFonts w:cstheme="minorHAnsi"/>
          <w:b/>
          <w:bCs/>
          <w:color w:val="3A3A3A"/>
          <w:sz w:val="24"/>
          <w:szCs w:val="24"/>
          <w:u w:val="single"/>
          <w:shd w:val="clear" w:color="auto" w:fill="FFFFFF"/>
        </w:rPr>
        <w:t xml:space="preserve"> прав </w:t>
      </w:r>
    </w:p>
    <w:p w14:paraId="5CF1A2D3" w14:textId="77777777" w:rsidR="009F3B91" w:rsidRPr="009F3B91" w:rsidRDefault="009F3B91" w:rsidP="009F3B91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  <w:lang w:val="uk-UA"/>
        </w:rPr>
      </w:pPr>
      <w:r w:rsidRPr="009F3B91">
        <w:rPr>
          <w:rFonts w:cstheme="minorHAnsi"/>
          <w:b/>
          <w:bCs/>
          <w:color w:val="3A3A3A"/>
          <w:sz w:val="24"/>
          <w:szCs w:val="24"/>
          <w:u w:val="single"/>
          <w:shd w:val="clear" w:color="auto" w:fill="FFFFFF"/>
          <w:lang w:val="uk-UA"/>
        </w:rPr>
        <w:t>Прийняття спадщини і відмова від прийняття спадщини</w:t>
      </w:r>
      <w:r w:rsidRPr="009F3B91">
        <w:rPr>
          <w:rFonts w:cstheme="minorHAnsi"/>
          <w:b/>
          <w:bCs/>
          <w:color w:val="3A3A3A"/>
          <w:sz w:val="24"/>
          <w:szCs w:val="24"/>
          <w:u w:val="single"/>
          <w:shd w:val="clear" w:color="auto" w:fill="FFFFFF"/>
        </w:rPr>
        <w:t> </w:t>
      </w:r>
    </w:p>
    <w:p w14:paraId="78171FB7" w14:textId="77777777" w:rsidR="009F3B91" w:rsidRDefault="009F3B91">
      <w:pPr>
        <w:rPr>
          <w:lang w:val="uk-UA"/>
        </w:rPr>
      </w:pPr>
    </w:p>
    <w:p w14:paraId="6CC63380" w14:textId="32F6504D" w:rsidR="009F3B91" w:rsidRPr="009F3B91" w:rsidRDefault="009F3B91" w:rsidP="009F3B91">
      <w:pPr>
        <w:pStyle w:val="a3"/>
        <w:numPr>
          <w:ilvl w:val="0"/>
          <w:numId w:val="5"/>
        </w:numPr>
        <w:rPr>
          <w:u w:val="single"/>
          <w:lang w:val="uk-UA"/>
        </w:rPr>
      </w:pPr>
      <w:proofErr w:type="spellStart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Загальна</w:t>
      </w:r>
      <w:proofErr w:type="spellEnd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характеристика </w:t>
      </w:r>
      <w:proofErr w:type="spellStart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спадкування</w:t>
      </w:r>
      <w:proofErr w:type="spellEnd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за законом </w:t>
      </w:r>
    </w:p>
    <w:p w14:paraId="46FF9B08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Суть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інституту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полягає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передбаченні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законодавцем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найбільш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імовірної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волі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яка з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якихось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причин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була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ним 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 </w:t>
      </w:r>
    </w:p>
    <w:p w14:paraId="56EB4D5C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Загальні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правила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за законом:</w:t>
      </w:r>
    </w:p>
    <w:p w14:paraId="1C0398E4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1)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можуть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бути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лише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фізичні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особи;</w:t>
      </w:r>
    </w:p>
    <w:p w14:paraId="510D2DD5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2)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Перелік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вичерпним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01A41767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3)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здійснюється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принципом «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пріоритету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» -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послідовність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почерговість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виникнення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ближчої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усувають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віддаленішої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).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Виняток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цього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правила – ст. 1259 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зміна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черговості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договором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рішенням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суду.</w:t>
      </w:r>
    </w:p>
    <w:p w14:paraId="0F2287CA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   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1259.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Зміна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черговості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одержання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</w:t>
      </w:r>
      <w:proofErr w:type="spellEnd"/>
    </w:p>
    <w:p w14:paraId="3ABFFACB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Черговість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одержання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законом права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може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бути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змінена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нотаріально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посвідченим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договором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заінтересованих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укладеним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після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Цей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договір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може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порушити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бере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ньому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участі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також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має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обов'язкову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частку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72051BBE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2.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Фізична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особа, яка є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спадкоємцем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законом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наступних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черг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може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рішенням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суду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одержати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разом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із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тієї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яка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має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за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умови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що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вона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протягом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тривалого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часу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опікувалася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матеріально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забезпечувала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надавала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допомогу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спадкодавцеві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через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похилий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вік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тяжку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хворобу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каліцтво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був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безпорадному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стані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49063006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Підстави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виникнення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за законом</w:t>
      </w:r>
    </w:p>
    <w:p w14:paraId="0D6D3485" w14:textId="77777777" w:rsidR="009F3B91" w:rsidRPr="009F3B91" w:rsidRDefault="009F3B91" w:rsidP="009F3B91">
      <w:pPr>
        <w:numPr>
          <w:ilvl w:val="0"/>
          <w:numId w:val="5"/>
        </w:numPr>
        <w:shd w:val="clear" w:color="auto" w:fill="F9FEFF"/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Негативні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юридичні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факти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відсутність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робить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можливим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 (ч. 2 ст. 1223 ЦК).</w:t>
      </w:r>
    </w:p>
    <w:p w14:paraId="318479BB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Зокрема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до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негативних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підстав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відноситься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423EC33D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відсутність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скасування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7CD4DFDC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0D9CFFEC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всіма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5B12C418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(г)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належність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числа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негідних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(ст. 1224)</w:t>
      </w:r>
    </w:p>
    <w:p w14:paraId="79F9B1DE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(д)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охоплено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лише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частину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</w:p>
    <w:p w14:paraId="7B299A17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(е)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недійсним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недійсним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06095BB8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lastRenderedPageBreak/>
        <w:t> 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Позитивні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юридичні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факти-стани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наявність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обумовлює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законом. До таких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фактів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належить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перебування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певних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відносинах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301062F5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А.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Родинні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відносини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– 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кровна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біологічна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спорідненість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осіб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походять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один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одного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пращура. За принципом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родинної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спорідненості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визначаються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першої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(ст. 1261),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другої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(ст. 1262),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третьої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частково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п’ятої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(ч. 1 ст. 1265)</w:t>
      </w:r>
    </w:p>
    <w:p w14:paraId="7FB124EC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Лінія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споріднення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кровний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зв’язок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фізичних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осіб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крізь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безперервні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народження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Лінії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бувають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49E25C5B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Пряма – особи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походять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одна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батько-син-онук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):</w:t>
      </w:r>
    </w:p>
    <w:p w14:paraId="0BFDFB2F" w14:textId="77777777" w:rsidR="009F3B91" w:rsidRPr="009F3B91" w:rsidRDefault="009F3B91" w:rsidP="009F3B91">
      <w:pPr>
        <w:numPr>
          <w:ilvl w:val="0"/>
          <w:numId w:val="3"/>
        </w:numPr>
        <w:shd w:val="clear" w:color="auto" w:fill="F9FEFF"/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Висхідна</w:t>
      </w:r>
      <w:proofErr w:type="spellEnd"/>
    </w:p>
    <w:p w14:paraId="2999F1AC" w14:textId="77777777" w:rsidR="009F3B91" w:rsidRPr="009F3B91" w:rsidRDefault="009F3B91" w:rsidP="009F3B91">
      <w:pPr>
        <w:numPr>
          <w:ilvl w:val="0"/>
          <w:numId w:val="3"/>
        </w:numPr>
        <w:shd w:val="clear" w:color="auto" w:fill="F9FEFF"/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Нисхідна</w:t>
      </w:r>
      <w:proofErr w:type="spellEnd"/>
    </w:p>
    <w:p w14:paraId="11D924C9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Бічна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особи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мають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пращура (брат-сестра)</w:t>
      </w:r>
    </w:p>
    <w:p w14:paraId="5264E991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Ступінь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споріднення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кількість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народжень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віддаляє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Принципи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ступеня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споріднення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04614283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Ступінь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рахується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кількості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народжень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віддаляє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22413F1C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Народження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самого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кількості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народжень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включається</w:t>
      </w:r>
      <w:proofErr w:type="spellEnd"/>
    </w:p>
    <w:p w14:paraId="3C1ECC65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Розрахунок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ступені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здійснюється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однаково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як 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прямій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так і в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бічній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лініях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04941384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2.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Квазіродинні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відносини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–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усиновлення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 </w:t>
      </w:r>
    </w:p>
    <w:p w14:paraId="3FBD53BE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міститься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ст. 207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Сімейного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кодексу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України</w:t>
      </w:r>
      <w:proofErr w:type="spellEnd"/>
    </w:p>
    <w:p w14:paraId="5D4280FB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207.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усиновлення</w:t>
      </w:r>
      <w:proofErr w:type="spellEnd"/>
    </w:p>
    <w:p w14:paraId="5B5AF8AB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Усиновленням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є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усиновлювачем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свою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сім'ю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особи на правах дочки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сина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що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здійснене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на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підставі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рішення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суду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крім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випадку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передбаченого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статтею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282 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цього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Кодексу.</w:t>
      </w:r>
    </w:p>
    <w:p w14:paraId="4C02B002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282.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Усиновлення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дитини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яка є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громадянином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України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але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проживає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межами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України</w:t>
      </w:r>
      <w:proofErr w:type="spellEnd"/>
    </w:p>
    <w:p w14:paraId="1E27082F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Усиновлення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громадянином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України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дитини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яка є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громадянином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України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але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проживає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межами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України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, 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здійснюється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в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консульській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установі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дипломатичному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представництві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України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.</w:t>
      </w:r>
    </w:p>
    <w:p w14:paraId="5A71A32D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Загальне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правило:</w:t>
      </w:r>
    </w:p>
    <w:p w14:paraId="548DE6B7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1260.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усиновленими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усиновлювачами</w:t>
      </w:r>
      <w:proofErr w:type="spellEnd"/>
    </w:p>
    <w:p w14:paraId="62D8CD80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разі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законом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усиновлений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його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нащадки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з одного боку,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усиновлювач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і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його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родичі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- з другого,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прирівнюються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до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родичів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походженням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32508B3B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2.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Усиновлений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його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нащадки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спадкують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законом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після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смерті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батьків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усиновленого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інших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його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родичів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походженням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висхідній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лінії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56FA2735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Батьки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усиновленого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його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родичі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походженням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висхідній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лінії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спадкують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законом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після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смерті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усиновленого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його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нащадків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1E2F7E37" w14:textId="77777777" w:rsid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</w:pPr>
    </w:p>
    <w:p w14:paraId="55BEEEC0" w14:textId="59795144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lastRenderedPageBreak/>
        <w:t>3. 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Сімейні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відносини</w:t>
      </w:r>
      <w:proofErr w:type="spellEnd"/>
    </w:p>
    <w:p w14:paraId="18DA1511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(а) 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Шлюб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зі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спадкодавцем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(перша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, ст. 1261 ЦК).</w:t>
      </w:r>
    </w:p>
    <w:p w14:paraId="0166F470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шлюбу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міститься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ст. 21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Сімейного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кодексу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України</w:t>
      </w:r>
      <w:proofErr w:type="spellEnd"/>
    </w:p>
    <w:p w14:paraId="65BC1632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21.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шлюбу</w:t>
      </w:r>
      <w:proofErr w:type="spellEnd"/>
    </w:p>
    <w:p w14:paraId="7BAC6E21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Шлюбом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є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сімейний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союз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жінки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чоловіка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зареєстрований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органі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державної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реєстрації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актів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цивільного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стану.</w:t>
      </w:r>
    </w:p>
    <w:p w14:paraId="2109D7DC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2.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Проживання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однією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сім'єю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жінки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чоловіка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без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шлюбу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не є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підставою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виникнення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них прав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обов'язків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подружжя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11AACDBE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3.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Релігійний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обряд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шлюбу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не є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підставою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виникнення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жінки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чоловіка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обов'язків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подружжя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крім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випадків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коли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релігійний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обряд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шлюбу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відбувся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до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створення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відновлення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органів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державної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реєстрації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актів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цивільного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стану.</w:t>
      </w:r>
    </w:p>
    <w:p w14:paraId="60A3BC0D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Головне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щоб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04722A40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шлюб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був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розірваний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момент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</w:p>
    <w:p w14:paraId="2ACB7F77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був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визнаний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недійсним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(ст. 39-41 СК)</w:t>
      </w:r>
    </w:p>
    <w:p w14:paraId="5BE5C422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вважався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неукладеним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18A22645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Другий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з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подружжя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на момент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і так є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власником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1/2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. Тому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він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спадкує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лише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частину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в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іншій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1/2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.</w:t>
      </w:r>
    </w:p>
    <w:p w14:paraId="1FA2D758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 </w:t>
      </w: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(б)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Проживання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зі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спадкодавцем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однією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сім’єю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менше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5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років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(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четверта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, ст. 1264)</w:t>
      </w:r>
    </w:p>
    <w:p w14:paraId="452C203D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"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сім'я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"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міститься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ст. 3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Сімейного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кодексу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України</w:t>
      </w:r>
      <w:proofErr w:type="spellEnd"/>
    </w:p>
    <w:p w14:paraId="48DD92C2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3.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Сім'я</w:t>
      </w:r>
      <w:proofErr w:type="spellEnd"/>
    </w:p>
    <w:p w14:paraId="77540B11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Сім'я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є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первинним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основним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осередком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суспільства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6E398F46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2.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Сім'ю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складають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особи,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спільно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проживають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пов'язані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спільним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побутом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мають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взаємні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права та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обов'язки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313A5343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4. 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Утримання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(иждивение) – 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утриманці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належать до 5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</w:p>
    <w:p w14:paraId="2598FB4C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п'яту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одержують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утриманці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були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членами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сім'ї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78ED50CC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Утриманцем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вважається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неповнолітня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непрацездатна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особа, яка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була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членом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сім'ї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але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менш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як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п'ять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років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одержувала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нього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матеріальну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допомогу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була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єдиним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основним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джерелом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засобів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існування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0381F050" w14:textId="5335A20F" w:rsidR="009F3B91" w:rsidRPr="009F3B91" w:rsidRDefault="009F3B91" w:rsidP="009F3B91">
      <w:pPr>
        <w:pStyle w:val="a3"/>
        <w:numPr>
          <w:ilvl w:val="0"/>
          <w:numId w:val="6"/>
        </w:numPr>
        <w:rPr>
          <w:u w:val="single"/>
          <w:lang w:val="uk-UA"/>
        </w:rPr>
      </w:pPr>
      <w:proofErr w:type="spellStart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Етапи</w:t>
      </w:r>
      <w:proofErr w:type="spellEnd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здійснення</w:t>
      </w:r>
      <w:proofErr w:type="spellEnd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спадкових</w:t>
      </w:r>
      <w:proofErr w:type="spellEnd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прав </w:t>
      </w:r>
    </w:p>
    <w:p w14:paraId="6953CBA0" w14:textId="77777777" w:rsidR="009F3B91" w:rsidRDefault="009F3B91" w:rsidP="009F3B9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Умовно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виділяють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етапи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</w:t>
      </w:r>
    </w:p>
    <w:p w14:paraId="4EB7B069" w14:textId="77777777" w:rsidR="009F3B91" w:rsidRDefault="009F3B91" w:rsidP="009F3B9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color w:val="3A3A3A"/>
          <w:sz w:val="21"/>
          <w:szCs w:val="21"/>
        </w:rPr>
        <w:t>1. 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Прийняття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(Глава 87 ЦК, ст. 1268-1280)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односторонній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спрямований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77F78C93" w14:textId="77777777" w:rsidR="009F3B91" w:rsidRDefault="009F3B91" w:rsidP="009F3B9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lastRenderedPageBreak/>
        <w:t>Прийняття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моменту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до моменту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спливу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строку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прийняття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(6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місяців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моменту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).</w:t>
      </w:r>
    </w:p>
    <w:p w14:paraId="6ED8DAD6" w14:textId="77777777" w:rsidR="009F3B91" w:rsidRDefault="009F3B91" w:rsidP="009F3B9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Незалежно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часу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прийняття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вона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належить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спадкоємцеві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часу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(ч. 5 ст. 1268 ЦК).</w:t>
      </w:r>
    </w:p>
    <w:p w14:paraId="10503244" w14:textId="77777777" w:rsidR="009F3B91" w:rsidRDefault="009F3B91" w:rsidP="009F3B9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Style w:val="a5"/>
          <w:rFonts w:ascii="Helvetica Neue" w:hAnsi="Helvetica Neue"/>
          <w:color w:val="3A3A3A"/>
          <w:sz w:val="21"/>
          <w:szCs w:val="21"/>
        </w:rPr>
        <w:t>2</w:t>
      </w:r>
      <w:r>
        <w:rPr>
          <w:rFonts w:ascii="Helvetica Neue" w:hAnsi="Helvetica Neue"/>
          <w:b/>
          <w:bCs/>
          <w:color w:val="3A3A3A"/>
          <w:sz w:val="21"/>
          <w:szCs w:val="21"/>
        </w:rPr>
        <w:t>.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Оформлення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(Глава 89 ЦК, ст. 1296-1301)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нотаріальна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яка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полягає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визначенні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остаточного кола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переліку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входить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до складу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й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видачі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свідоцтва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результатами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підведення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підсумків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прийняття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FA50B2E" w14:textId="77777777" w:rsidR="009F3B91" w:rsidRDefault="009F3B91" w:rsidP="009F3B9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Оформлення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спливу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шести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місяців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моменту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обмежується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максимальним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строком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31C0926A" w14:textId="5D9CFCF4" w:rsidR="009F3B91" w:rsidRPr="009F3B91" w:rsidRDefault="009F3B91" w:rsidP="009F3B91">
      <w:pPr>
        <w:pStyle w:val="a3"/>
        <w:numPr>
          <w:ilvl w:val="0"/>
          <w:numId w:val="6"/>
        </w:numPr>
        <w:rPr>
          <w:u w:val="single"/>
        </w:rPr>
      </w:pPr>
      <w:bookmarkStart w:id="0" w:name="_GoBack"/>
      <w:bookmarkEnd w:id="0"/>
      <w:proofErr w:type="spellStart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Прийняття</w:t>
      </w:r>
      <w:proofErr w:type="spellEnd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спадщини</w:t>
      </w:r>
      <w:proofErr w:type="spellEnd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і </w:t>
      </w:r>
      <w:proofErr w:type="spellStart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відмова</w:t>
      </w:r>
      <w:proofErr w:type="spellEnd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від</w:t>
      </w:r>
      <w:proofErr w:type="spellEnd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прийняття</w:t>
      </w:r>
      <w:proofErr w:type="spellEnd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спадщини</w:t>
      </w:r>
      <w:proofErr w:type="spellEnd"/>
      <w:r w:rsidRPr="009F3B9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 </w:t>
      </w:r>
    </w:p>
    <w:p w14:paraId="312A1578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як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правочин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характеризується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такими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ознаками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368665BA" w14:textId="77777777" w:rsidR="009F3B91" w:rsidRPr="009F3B91" w:rsidRDefault="009F3B91" w:rsidP="009F3B91">
      <w:pPr>
        <w:numPr>
          <w:ilvl w:val="0"/>
          <w:numId w:val="4"/>
        </w:numPr>
        <w:shd w:val="clear" w:color="auto" w:fill="F9FEFF"/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Безумовний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характер</w:t>
      </w: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–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пов’язати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факт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виникненням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виникненням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певних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умов (ст. 212 ЦК),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тощо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5CF94ED6" w14:textId="77777777" w:rsidR="009F3B91" w:rsidRPr="009F3B91" w:rsidRDefault="009F3B91" w:rsidP="009F3B91">
      <w:pPr>
        <w:numPr>
          <w:ilvl w:val="0"/>
          <w:numId w:val="4"/>
        </w:numPr>
        <w:shd w:val="clear" w:color="auto" w:fill="F9FEFF"/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Беззастережний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характер</w:t>
      </w: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диктувати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третім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свої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побажання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волевиявлення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пов’язані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фактом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ним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</w:p>
    <w:p w14:paraId="63523F68" w14:textId="77777777" w:rsidR="009F3B91" w:rsidRPr="009F3B91" w:rsidRDefault="009F3B91" w:rsidP="009F3B91">
      <w:pPr>
        <w:numPr>
          <w:ilvl w:val="0"/>
          <w:numId w:val="4"/>
        </w:numPr>
        <w:shd w:val="clear" w:color="auto" w:fill="F9FEFF"/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Універсальний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характер </w:t>
      </w: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поширюється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всю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не 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частину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6557668D" w14:textId="77777777" w:rsidR="009F3B91" w:rsidRPr="009F3B91" w:rsidRDefault="009F3B91" w:rsidP="009F3B91">
      <w:pPr>
        <w:numPr>
          <w:ilvl w:val="0"/>
          <w:numId w:val="4"/>
        </w:numPr>
        <w:shd w:val="clear" w:color="auto" w:fill="F9FEFF"/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Звортна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дія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акту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 </w:t>
      </w: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незалежно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часу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вона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належить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спадкоємцеві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часу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(ч. 5 ст. 1268 ЦК).</w:t>
      </w:r>
    </w:p>
    <w:p w14:paraId="65060D08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Способи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(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перелік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є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вичерпним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)</w:t>
      </w:r>
    </w:p>
    <w:p w14:paraId="342ED5A2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1. </w:t>
      </w: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Шляхом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подання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заяви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нотаріусу</w:t>
      </w:r>
      <w:proofErr w:type="spellEnd"/>
    </w:p>
    <w:p w14:paraId="03C666A5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Суб’єкти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подання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заяви</w:t>
      </w: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-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бажають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але на час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проживали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постійно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спадкодавцем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проживали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спадкодавцем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також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мають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подати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заяву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але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обов’язково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6D5C83A8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Спосіб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подання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виключно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особисто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заяви через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представника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довіреністю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заборонено!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заяви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здійснюватися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як шляхом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безпосереднього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звернення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нотаріуса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складання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заяви 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нотаріальній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конторі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так і шляхом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надсилання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поштою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1133BB52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Форма заяви</w:t>
      </w: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письмова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08A5F2DD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Суб’єкт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якому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слід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подавати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– будь-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державний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приватний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нотаріус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В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сільських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населених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пунктах -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уповноваженій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посадовій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особі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відповідного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органу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місцевого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самоврядування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заяву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6162B2FE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Строк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подання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– 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шість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місяців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моменту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2279A8A5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1270.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 Строки для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</w:p>
    <w:p w14:paraId="30478AC6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Для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встановлюється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строк 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шість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місяців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починається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 часу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43A396AF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2.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виникнення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особи права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залежить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відмови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її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іншими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строк для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нею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встановлюється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три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місяці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 моменту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іншими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відмови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її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75D89FB9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lastRenderedPageBreak/>
        <w:t>Якщо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строк,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що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залишився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менший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як три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місяці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він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продовжується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до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трьох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місяців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1274687B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Строк для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бути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пролонгований</w:t>
      </w:r>
      <w:proofErr w:type="spellEnd"/>
    </w:p>
    <w:p w14:paraId="16D8FC4B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1272.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Наслідки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пропущення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строку для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</w:p>
    <w:p w14:paraId="1D539946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2. За 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письмовою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згодою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,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прийняли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пропустив строк для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може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подати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заяву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нотаріусу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сільських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населених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пунктах -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уповноваженій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це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посадовій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особі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відповідного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органу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місцевого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самоврядування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2B2BC59B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3. За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позовом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пропустив строк для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поважної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причини, суд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може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визначити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йому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додатковий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строк,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достатній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подання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ним заяви про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4948A778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Наслідки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неподання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заяви – 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вважається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таким,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частина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він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переходить і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розподіляється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порівну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між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 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спадкують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порівну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однієї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ним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нема 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подальших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034D9079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вона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вважається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відумерлою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51AC1852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1277.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Відумерлість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</w:p>
    <w:p w14:paraId="522DDBA1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разі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відсутності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і за законом,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усунення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їх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ними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також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відмови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її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орган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місцевого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самоврядування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зобов'язаний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подати </w:t>
      </w:r>
      <w:proofErr w:type="gram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до суду</w:t>
      </w:r>
      <w:proofErr w:type="gram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заяву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визнання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відумерлою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.</w:t>
      </w:r>
    </w:p>
    <w:p w14:paraId="444F982A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2.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Заява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визнання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відумерлою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подається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після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спливу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одного року з часу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3C8D5395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3.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Спадщина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визнана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судом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відумерлою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, переходить у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власність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територіальної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громади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</w:p>
    <w:p w14:paraId="14CC4A2E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2. 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Автоматичне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спадщини</w:t>
      </w:r>
      <w:proofErr w:type="spellEnd"/>
    </w:p>
    <w:p w14:paraId="7C469263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Суб’єкти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:</w:t>
      </w:r>
    </w:p>
    <w:p w14:paraId="3A6ACB56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1)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постійно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проживав разом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спадкодавцем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час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 </w:t>
      </w:r>
    </w:p>
    <w:p w14:paraId="2E078752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2)  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Малолітні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</w:t>
      </w:r>
    </w:p>
    <w:p w14:paraId="71DF2FE6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3)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Неповнолітні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</w:t>
      </w:r>
    </w:p>
    <w:p w14:paraId="1A3D85F7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4)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Недієздатні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</w:t>
      </w:r>
    </w:p>
    <w:p w14:paraId="45490E80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5) Особи,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цивільна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дієздатність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обмежена</w:t>
      </w:r>
      <w:proofErr w:type="spellEnd"/>
    </w:p>
    <w:p w14:paraId="1EBE2011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Механізм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цими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особами: 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вважаються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такими,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прийняли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автоматично, без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жодних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заяв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відмовились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протягом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6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місяців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моменту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</w:p>
    <w:p w14:paraId="7EE0DE4D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Увага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!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Інших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способів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(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наприклад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фактичний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вступ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володіння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спадщиною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)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чинне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законодавство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не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передбачає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.</w:t>
      </w:r>
    </w:p>
    <w:p w14:paraId="13BD1DAC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lastRenderedPageBreak/>
        <w:t>Відмова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 – 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односторонній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правочин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спрямований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спадкоємцем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законом. Тому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своєю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правовою природою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активна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дія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Цим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відрізняється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5927FFF6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Суб’єкт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подання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заяви про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відмову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самостійно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згодою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батьків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піклувальника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неповнолітнім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обмежено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дієздатним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), </w:t>
      </w:r>
      <w:proofErr w:type="gram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батьки</w:t>
      </w:r>
      <w:proofErr w:type="gram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малолітнього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опікун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недієздатного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6E936E36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Види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відмови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:</w:t>
      </w:r>
    </w:p>
    <w:p w14:paraId="28F7F266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- </w:t>
      </w:r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Проста (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безадресна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)</w:t>
      </w: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здійснюється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без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вказівки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даний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відмовляється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4B1AF25E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Наслідки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простої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63D0ECA5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1275.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Правові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наслідки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відмови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</w:p>
    <w:p w14:paraId="61135061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відмовився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один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із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частка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яку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він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, 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u w:val="single"/>
          <w:lang w:eastAsia="ru-RU"/>
        </w:rPr>
        <w:t>переходить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 до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інших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і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розподіляється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між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ними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порівну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3CFF7C4B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2.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відмовився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один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із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законом з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тієї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яка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має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частка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спадщині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яку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він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переходить до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інших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законом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тієї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ж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і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розподіляється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між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ними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порівну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30502808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Таким чином,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існують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такі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варіанти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0E1C8C22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ведеться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декілька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один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відмовляється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то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розподіляється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між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порівну</w:t>
      </w:r>
      <w:proofErr w:type="spellEnd"/>
    </w:p>
    <w:p w14:paraId="7838A3EE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ведеться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один і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він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відмовляється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відбувається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 (ч. 2 ст. 1223)</w:t>
      </w:r>
    </w:p>
    <w:p w14:paraId="2FF5C86A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відмовляються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потім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ланцюгом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за законом, то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відумерлою</w:t>
      </w:r>
      <w:proofErr w:type="spellEnd"/>
    </w:p>
    <w:p w14:paraId="0316542B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(г)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законом, і є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декілька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першої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один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відмовився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розподіляється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між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1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черги</w:t>
      </w:r>
      <w:proofErr w:type="spellEnd"/>
    </w:p>
    <w:p w14:paraId="0AA797F1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(д)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законом, і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1-ї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один,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він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відмовляється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розподіляється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між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наступної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5A7CB35F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- 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Кваліфікована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(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адресна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) –</w:t>
      </w: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вказує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користь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якого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відмовляється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своєї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спадщині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7CFA2488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Реалізація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кваліфіковану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23586EF1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1274.</w:t>
      </w: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 Право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відмову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користь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іншої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особи</w:t>
      </w:r>
    </w:p>
    <w:p w14:paraId="12A4DF02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має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відмовитися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користь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іншого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заповітом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5A0BFFD4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2.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законом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має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відмовитися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користь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будь-кого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із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законом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незалежно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черги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19625963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4.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Якщо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заповідач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підпризначив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особа,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ім'я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якої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складений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може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відмовитися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лише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на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користь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особи, яка є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підпризначеним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спадкоємцем</w:t>
      </w:r>
      <w:proofErr w:type="spellEnd"/>
      <w:r w:rsidRPr="009F3B9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6D0BD79F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lastRenderedPageBreak/>
        <w:t> 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Наслідки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кваліфікованої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: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повністю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переходить до того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вказаний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заяву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Але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останній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відмовитися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цієї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7A5BD27D" w14:textId="77777777" w:rsidR="009F3B91" w:rsidRPr="009F3B91" w:rsidRDefault="009F3B91" w:rsidP="009F3B9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Відкликання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відмови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односторонній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правочин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спрямований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відкликати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gram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 будь</w:t>
      </w:r>
      <w:proofErr w:type="gram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-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який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час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протягом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строку для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просту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так і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кваліфіковану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відмову</w:t>
      </w:r>
      <w:proofErr w:type="spellEnd"/>
      <w:r w:rsidRPr="009F3B9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59BFC500" w14:textId="77777777" w:rsidR="009F3B91" w:rsidRPr="009F3B91" w:rsidRDefault="009F3B91" w:rsidP="009F3B91">
      <w:pPr>
        <w:ind w:left="360"/>
        <w:rPr>
          <w:u w:val="single"/>
        </w:rPr>
      </w:pPr>
    </w:p>
    <w:sectPr w:rsidR="009F3B91" w:rsidRPr="009F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D4C20"/>
    <w:multiLevelType w:val="hybridMultilevel"/>
    <w:tmpl w:val="3C28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1B03"/>
    <w:multiLevelType w:val="hybridMultilevel"/>
    <w:tmpl w:val="B2CCACA6"/>
    <w:lvl w:ilvl="0" w:tplc="2A02DC08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b/>
        <w:color w:val="3A3A3A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67CD0"/>
    <w:multiLevelType w:val="hybridMultilevel"/>
    <w:tmpl w:val="1714B1AE"/>
    <w:lvl w:ilvl="0" w:tplc="BCA6DE4E">
      <w:start w:val="2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b/>
        <w:color w:val="3A3A3A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71891"/>
    <w:multiLevelType w:val="multilevel"/>
    <w:tmpl w:val="63D0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718F0"/>
    <w:multiLevelType w:val="multilevel"/>
    <w:tmpl w:val="D148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7D5D68"/>
    <w:multiLevelType w:val="multilevel"/>
    <w:tmpl w:val="2C82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91"/>
    <w:rsid w:val="009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7580"/>
  <w15:chartTrackingRefBased/>
  <w15:docId w15:val="{15EB8B67-92B9-49E0-A378-8F01B2E5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91"/>
    <w:pPr>
      <w:ind w:left="720"/>
      <w:contextualSpacing/>
    </w:pPr>
  </w:style>
  <w:style w:type="paragraph" w:customStyle="1" w:styleId="rvps2">
    <w:name w:val="rvps2"/>
    <w:basedOn w:val="a"/>
    <w:rsid w:val="009F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3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2120</Words>
  <Characters>12088</Characters>
  <Application>Microsoft Office Word</Application>
  <DocSecurity>0</DocSecurity>
  <Lines>100</Lines>
  <Paragraphs>28</Paragraphs>
  <ScaleCrop>false</ScaleCrop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Филатова</dc:creator>
  <cp:keywords/>
  <dc:description/>
  <cp:lastModifiedBy>Наталья Филатова</cp:lastModifiedBy>
  <cp:revision>1</cp:revision>
  <dcterms:created xsi:type="dcterms:W3CDTF">2020-03-25T19:11:00Z</dcterms:created>
  <dcterms:modified xsi:type="dcterms:W3CDTF">2020-03-25T19:29:00Z</dcterms:modified>
</cp:coreProperties>
</file>