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7BD7" w14:textId="68D05E80" w:rsidR="00B36D88" w:rsidRDefault="00B36D88">
      <w:pPr>
        <w:rPr>
          <w:b/>
          <w:bCs/>
          <w:sz w:val="24"/>
          <w:szCs w:val="24"/>
          <w:u w:val="single"/>
          <w:lang w:val="uk-UA"/>
        </w:rPr>
      </w:pPr>
      <w:r w:rsidRPr="00B36D88">
        <w:rPr>
          <w:b/>
          <w:bCs/>
          <w:sz w:val="24"/>
          <w:szCs w:val="24"/>
          <w:u w:val="single"/>
          <w:lang w:val="uk-UA"/>
        </w:rPr>
        <w:t>Лекція: Захист права власності</w:t>
      </w:r>
    </w:p>
    <w:p w14:paraId="724223A1" w14:textId="77777777" w:rsidR="00B36D88" w:rsidRPr="00B36D88" w:rsidRDefault="00B36D88" w:rsidP="00B36D88">
      <w:pPr>
        <w:pStyle w:val="a3"/>
        <w:numPr>
          <w:ilvl w:val="0"/>
          <w:numId w:val="1"/>
        </w:numPr>
        <w:rPr>
          <w:b/>
          <w:bCs/>
          <w:sz w:val="24"/>
          <w:szCs w:val="24"/>
          <w:u w:val="single"/>
          <w:lang w:val="uk-UA"/>
        </w:rPr>
      </w:pP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Загальні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засади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захисту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Види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способів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захисту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</w:p>
    <w:p w14:paraId="1CC64A24" w14:textId="2EF22714" w:rsidR="00B36D88" w:rsidRDefault="00B36D88" w:rsidP="00B36D88">
      <w:pPr>
        <w:pStyle w:val="a3"/>
        <w:numPr>
          <w:ilvl w:val="0"/>
          <w:numId w:val="1"/>
        </w:numPr>
        <w:rPr>
          <w:b/>
          <w:bCs/>
          <w:sz w:val="24"/>
          <w:szCs w:val="24"/>
          <w:u w:val="single"/>
          <w:lang w:val="uk-UA"/>
        </w:rPr>
      </w:pPr>
      <w:proofErr w:type="spellStart"/>
      <w:r>
        <w:rPr>
          <w:b/>
          <w:bCs/>
          <w:sz w:val="24"/>
          <w:szCs w:val="24"/>
          <w:u w:val="single"/>
          <w:lang w:val="uk-UA"/>
        </w:rPr>
        <w:t>Речово</w:t>
      </w:r>
      <w:proofErr w:type="spellEnd"/>
      <w:r>
        <w:rPr>
          <w:b/>
          <w:bCs/>
          <w:sz w:val="24"/>
          <w:szCs w:val="24"/>
          <w:u w:val="single"/>
          <w:lang w:val="uk-UA"/>
        </w:rPr>
        <w:t>-правові способи захисту:</w:t>
      </w:r>
    </w:p>
    <w:p w14:paraId="1AD1F50C" w14:textId="262E902D" w:rsidR="00B36D88" w:rsidRDefault="00B36D88" w:rsidP="00B36D88">
      <w:pPr>
        <w:pStyle w:val="a3"/>
        <w:numPr>
          <w:ilvl w:val="1"/>
          <w:numId w:val="1"/>
        </w:numPr>
        <w:rPr>
          <w:b/>
          <w:bCs/>
          <w:sz w:val="24"/>
          <w:szCs w:val="24"/>
          <w:u w:val="single"/>
          <w:lang w:val="uk-UA"/>
        </w:rPr>
      </w:pPr>
      <w:proofErr w:type="spellStart"/>
      <w:r>
        <w:rPr>
          <w:b/>
          <w:bCs/>
          <w:sz w:val="24"/>
          <w:szCs w:val="24"/>
          <w:u w:val="single"/>
          <w:lang w:val="uk-UA"/>
        </w:rPr>
        <w:t>Віндикаційний</w:t>
      </w:r>
      <w:proofErr w:type="spellEnd"/>
      <w:r>
        <w:rPr>
          <w:b/>
          <w:bCs/>
          <w:sz w:val="24"/>
          <w:szCs w:val="24"/>
          <w:u w:val="single"/>
          <w:lang w:val="uk-UA"/>
        </w:rPr>
        <w:t xml:space="preserve"> позов</w:t>
      </w:r>
    </w:p>
    <w:p w14:paraId="635DC904" w14:textId="2A1F90B1" w:rsidR="00B36D88" w:rsidRDefault="00B36D88" w:rsidP="00B36D88">
      <w:pPr>
        <w:pStyle w:val="a3"/>
        <w:numPr>
          <w:ilvl w:val="1"/>
          <w:numId w:val="1"/>
        </w:numPr>
        <w:rPr>
          <w:b/>
          <w:bCs/>
          <w:sz w:val="24"/>
          <w:szCs w:val="24"/>
          <w:u w:val="single"/>
          <w:lang w:val="uk-UA"/>
        </w:rPr>
      </w:pPr>
      <w:proofErr w:type="spellStart"/>
      <w:r>
        <w:rPr>
          <w:b/>
          <w:bCs/>
          <w:sz w:val="24"/>
          <w:szCs w:val="24"/>
          <w:u w:val="single"/>
          <w:lang w:val="uk-UA"/>
        </w:rPr>
        <w:t>Негаторний</w:t>
      </w:r>
      <w:proofErr w:type="spellEnd"/>
      <w:r>
        <w:rPr>
          <w:b/>
          <w:bCs/>
          <w:sz w:val="24"/>
          <w:szCs w:val="24"/>
          <w:u w:val="single"/>
          <w:lang w:val="uk-UA"/>
        </w:rPr>
        <w:t xml:space="preserve"> позов</w:t>
      </w:r>
    </w:p>
    <w:p w14:paraId="17FEA67A" w14:textId="3EF7CBA7" w:rsidR="00B36D88" w:rsidRDefault="00B36D88" w:rsidP="00B36D88">
      <w:pPr>
        <w:pStyle w:val="a3"/>
        <w:numPr>
          <w:ilvl w:val="1"/>
          <w:numId w:val="1"/>
        </w:numPr>
        <w:rPr>
          <w:b/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Позов про визнання права власності</w:t>
      </w:r>
    </w:p>
    <w:p w14:paraId="434C8F53" w14:textId="77777777" w:rsidR="00B36D88" w:rsidRPr="00B36D88" w:rsidRDefault="00B36D88" w:rsidP="00B36D88">
      <w:pPr>
        <w:pStyle w:val="a3"/>
        <w:ind w:left="1440"/>
        <w:rPr>
          <w:b/>
          <w:bCs/>
          <w:sz w:val="24"/>
          <w:szCs w:val="24"/>
          <w:u w:val="single"/>
          <w:lang w:val="uk-UA"/>
        </w:rPr>
      </w:pPr>
    </w:p>
    <w:p w14:paraId="68D99BE8" w14:textId="540723C2" w:rsidR="00B36D88" w:rsidRPr="00B36D88" w:rsidRDefault="00B36D88" w:rsidP="00B36D88">
      <w:pPr>
        <w:rPr>
          <w:b/>
          <w:bCs/>
          <w:sz w:val="24"/>
          <w:szCs w:val="24"/>
          <w:u w:val="single"/>
          <w:lang w:val="uk-UA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 xml:space="preserve">1.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Загальні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засади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захисту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Види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способів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захисту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</w:p>
    <w:p w14:paraId="6F560516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засади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передбачені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ст. 386 ЦКУ</w:t>
      </w:r>
    </w:p>
    <w:p w14:paraId="520E1135" w14:textId="77777777" w:rsidR="00B36D88" w:rsidRDefault="00B36D88" w:rsidP="00B36D88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386.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 Засади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власності</w:t>
      </w:r>
      <w:proofErr w:type="spellEnd"/>
    </w:p>
    <w:p w14:paraId="00B6ED9B" w14:textId="77777777" w:rsidR="00B36D88" w:rsidRDefault="00B36D88" w:rsidP="00B36D88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1. Держава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забезпечує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рівний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захист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усіх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суб'єктів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04C61480" w14:textId="77777777" w:rsidR="00B36D88" w:rsidRDefault="00B36D88" w:rsidP="00B36D88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2.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підстави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передбачати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свого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звернутися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i/>
          <w:iCs/>
          <w:color w:val="3A3A3A"/>
          <w:sz w:val="21"/>
          <w:szCs w:val="21"/>
        </w:rPr>
        <w:t>до суду</w:t>
      </w:r>
      <w:proofErr w:type="gram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вимогою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заборону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нею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порушити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право,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вимогою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певних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запобігання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такому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порушенню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3E0D2707" w14:textId="77777777" w:rsidR="00B36D88" w:rsidRDefault="00B36D88" w:rsidP="00B36D88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3.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права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порушені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завданої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йому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майнової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моральної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шкоди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199F032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ст.ст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41 КУ, ст. 386 ЦК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випливають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засади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0449C8D1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Гарантована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державою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рівність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так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приватних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означає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публічними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приватними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DA9A9E2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превентивного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звернення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юрисдикційних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органів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оспорення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уже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відбулось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загроза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особами.</w:t>
      </w:r>
    </w:p>
    <w:p w14:paraId="10E7002C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Гарантована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шкоди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22 ЦК)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моральної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23 ЦК)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шкоди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заподіяної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8FE4CE3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постраждалої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й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своєрідні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необхідно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проаналізувати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елементний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склад.</w:t>
      </w:r>
    </w:p>
    <w:p w14:paraId="1ED85D16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захищається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?) </w:t>
      </w:r>
      <w:r>
        <w:rPr>
          <w:rFonts w:ascii="Helvetica Neue" w:hAnsi="Helvetica Neue"/>
          <w:color w:val="3A3A3A"/>
          <w:sz w:val="21"/>
          <w:szCs w:val="21"/>
        </w:rPr>
        <w:t xml:space="preserve">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У свою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чергу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огляду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ст. 316 ЦК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бути:</w:t>
      </w:r>
    </w:p>
    <w:p w14:paraId="6D77C671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179 ЦК)</w:t>
      </w:r>
    </w:p>
    <w:p w14:paraId="2704D8C2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190 ЦК)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речей,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Практика ЄСПЛ –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контексті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ст. 1 Протоколу 1 належать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, але й права:</w:t>
      </w:r>
    </w:p>
    <w:p w14:paraId="7FFC601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 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заподіяної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шкоди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посадових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(справа «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Прессос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компанія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Навьєра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Нідерландів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»)</w:t>
      </w:r>
    </w:p>
    <w:p w14:paraId="10005058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 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Ліцензії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сертифікати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професійну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діяльність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(«Ван де Марле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Нідерландів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»)</w:t>
      </w:r>
    </w:p>
    <w:p w14:paraId="7716F3B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   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пенсії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соціальних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виплат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691AD92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lastRenderedPageBreak/>
        <w:t xml:space="preserve">     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Суб’єкти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хто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захищати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право?):</w:t>
      </w:r>
    </w:p>
    <w:p w14:paraId="5DBC8318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 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уже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23FE0D62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 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достатні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набути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майбутньому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344 ЦК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давності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</w:t>
      </w:r>
    </w:p>
    <w:p w14:paraId="64541E06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   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Добросовісні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330 ЦК)</w:t>
      </w:r>
    </w:p>
    <w:p w14:paraId="0A10B994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Види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застосовуватись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.</w:t>
      </w:r>
    </w:p>
    <w:p w14:paraId="3EAC1DBC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Побудова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системи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базується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загальноприйнятому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правовідносин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(прав)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й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Тому основою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системи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речово-правові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зобов’язально-правові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Зустрічаються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й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однозначно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віднести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першої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другої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групи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доцільно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виділити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окрему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групу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прав.</w:t>
      </w:r>
    </w:p>
    <w:p w14:paraId="6BFD8D43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Отже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поділяються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на:</w:t>
      </w:r>
    </w:p>
    <w:p w14:paraId="7921269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Речово-правові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- до них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віднести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віндікаційний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петіторний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позови.</w:t>
      </w:r>
    </w:p>
    <w:p w14:paraId="07D36F2B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>2. 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Зобов’язально-правові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</w:t>
      </w:r>
      <w:r>
        <w:rPr>
          <w:rFonts w:ascii="Helvetica Neue" w:hAnsi="Helvetica Neue"/>
          <w:color w:val="3A3A3A"/>
          <w:sz w:val="21"/>
          <w:szCs w:val="21"/>
        </w:rPr>
        <w:t>істять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шкоди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й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притягнення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відповідальності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стягнення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неустойки,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відсотків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повернення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необґрунтовано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придбаного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збереженого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розірвання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договору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т.ін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зобов’язально-правові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пред’являються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стягнення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неустойки)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універсальні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збитків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відсотків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).</w:t>
      </w:r>
    </w:p>
    <w:p w14:paraId="555C6A29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становлять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нікчемного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незаконними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актів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органів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органів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АРК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самоврядування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спрямовані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ліквідацію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значущої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Сюди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віднести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націоналізації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реприватизації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вилучення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у порядку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реквізиції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вилучення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земельної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ділянки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майна,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знаходиться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необхідності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групи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належать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багато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акціонерів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господарських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товариств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56180CF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Загальна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характеристика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видів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захисту</w:t>
      </w:r>
      <w:proofErr w:type="spellEnd"/>
    </w:p>
    <w:p w14:paraId="18975DD8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Речово-правові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способи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спрямовані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безпосередньо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права абсолютного, яке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пов’язано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конкретними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зобов’язаннями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Тому головною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є:</w:t>
      </w:r>
    </w:p>
    <w:p w14:paraId="01F7D661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перебуває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1BE7EF7A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наявність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збереженість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позову;</w:t>
      </w:r>
    </w:p>
    <w:p w14:paraId="2BDAE38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індивідуальними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7588CF7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Зобов’язально-правові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способи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спрямовані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тих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укладено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пов’язано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виконанням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наявні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деліктні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B24930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Інші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способи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спрямовані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анулювання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факту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акту ОДВ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ОМС),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A5EED6E" w14:textId="3690127E" w:rsidR="00B36D88" w:rsidRPr="00B36D88" w:rsidRDefault="00B36D88" w:rsidP="00B36D88">
      <w:pPr>
        <w:pStyle w:val="a3"/>
        <w:numPr>
          <w:ilvl w:val="0"/>
          <w:numId w:val="2"/>
        </w:numPr>
        <w:rPr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lastRenderedPageBreak/>
        <w:t>Речово-правові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способи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захисту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</w:t>
      </w:r>
      <w:proofErr w:type="spellStart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  <w:r w:rsidRPr="00B36D88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 </w:t>
      </w:r>
    </w:p>
    <w:p w14:paraId="3950B3FC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Основними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видами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речово-правових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є: </w:t>
      </w:r>
    </w:p>
    <w:p w14:paraId="6815A25C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віндикаційний</w:t>
      </w:r>
      <w:proofErr w:type="spellEnd"/>
    </w:p>
    <w:p w14:paraId="21029F21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негаторний</w:t>
      </w:r>
      <w:proofErr w:type="spellEnd"/>
    </w:p>
    <w:p w14:paraId="7C9F8A8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</w:p>
    <w:p w14:paraId="0F935410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Віндикаційний</w:t>
      </w:r>
      <w:proofErr w:type="spellEnd"/>
      <w:r>
        <w:rPr>
          <w:rStyle w:val="a5"/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лат.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vim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dicere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«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оголошую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»,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витребую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примусово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vindicta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палиця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символізує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спис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самим –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знак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накладався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спірну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неволодіючого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незаконного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володіючого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фактичного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річчю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20CA1A3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59A1AA0D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титульний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особа,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заборонених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законом та/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яка значиться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державному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2A05ABA3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титульний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володілець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сервітуарій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чужу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396 ЦК), управитель майна за договором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управління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1037)</w:t>
      </w:r>
    </w:p>
    <w:p w14:paraId="369649CF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колишній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нерухомого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значиться у державному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нерухоме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(приклад – Постанова ВСУ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24.06.2015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№ 6-535цс15).</w:t>
      </w:r>
    </w:p>
    <w:p w14:paraId="3E9A4984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повинен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одночасно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40031316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індивідуальними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(ст.184 ЦК) </w:t>
      </w:r>
    </w:p>
    <w:p w14:paraId="51000D6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збереглась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 (не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знищена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пошкоджена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збереглась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первісному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вигляді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перероблена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</w:t>
      </w:r>
    </w:p>
    <w:p w14:paraId="0A101805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перебуває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виявиться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витребування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задоволенню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предмета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збитків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2676303D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віндикаційим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незаконний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володілець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незаконно,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заволодів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річчю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фактично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нею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позову,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позивачем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приводу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витребується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F256562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віндикаційним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добросовісний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недобросовісний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спірної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Недобросовісний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особа,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викрала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привласнила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шляхом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шахрайства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обману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особа, яка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придбання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знала і могла знати про те,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відчужувачем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особа, яка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відчужувати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недобросовісного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витребуванню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навіть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придбано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оплатним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Добросовісний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особа, яка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придбання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знала не могла знати про те,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відчужувачем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особа, яка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відчужувати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388).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Добросовісний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ставиться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законодавцем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просто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положення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переважно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дозволяє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останньому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ст. 330 ЦК. Тому ст. 388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втілює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ідею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справедливого балансу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інтересів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добросовісного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  </w:t>
      </w:r>
    </w:p>
    <w:p w14:paraId="78AF368B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добросовісного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витребувана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74CC5972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придбання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безоплатним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дарування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</w:t>
      </w:r>
    </w:p>
    <w:p w14:paraId="5E905A6E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придбання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оплатним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наявності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хоча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обставин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указаних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ч. 1 ст. 388:</w:t>
      </w:r>
    </w:p>
    <w:p w14:paraId="62EA1D14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загублена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4A6A706A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викрадена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70677EC7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не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їхньої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шляхом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вибуття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не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їхньої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шляхом (пункт 3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першої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статті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388 ЦК)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відносяться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впливом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обману,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насильства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зловмисної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домовленості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представника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другою стороною,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вибуло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поза волею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володільця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).  </w:t>
      </w:r>
    </w:p>
    <w:p w14:paraId="4D778430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Негаторний</w:t>
      </w:r>
      <w:proofErr w:type="spellEnd"/>
      <w:r>
        <w:rPr>
          <w:rStyle w:val="a5"/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лат.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actio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negatoria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заперечення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здійсненні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сервітут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емфітевзис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суперфіцій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яка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пов’язана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позбавленням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річчю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391 ЦК).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відміну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віндикаційного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позову, метою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фактичного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річчю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заявляється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метою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річчю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обсязі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зв’язку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утисканням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правомочності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третіми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особами.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сервітуарій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яка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фактичним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володільцем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протиправно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усунути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існуючі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утриматися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призвести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шляхом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знесення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неправомірно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збудованих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споруд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ремонтних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робіт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сусідній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квартирі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виселення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громадян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належних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приміщень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).</w:t>
      </w:r>
    </w:p>
    <w:p w14:paraId="7D1714DA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позову:</w:t>
      </w:r>
    </w:p>
    <w:p w14:paraId="7987F337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договору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предметом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спірне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6F8A8747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Протиправна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поведінка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боку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3074AA33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позивача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небезпеки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зв’язку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протиправними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6B246AA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Досить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чисельними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справи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здійсненні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шляхом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житловим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приміщенням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скасування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проживання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Стосується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переважно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колишніх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членів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сім’ї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колишнього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членів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сім’ї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колишнього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житла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давність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здійсненні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розпорядження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своїм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застосовується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триває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ж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негаторного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припинилося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задоволення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04D9CF6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Style w:val="a5"/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Style w:val="a5"/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Style w:val="a5"/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(ст. 392 ЦК)</w:t>
      </w:r>
    </w:p>
    <w:p w14:paraId="3C8B3B7F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392.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</w:p>
    <w:p w14:paraId="44763E78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пред'явити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оспорюється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втрати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 документа,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засвідчує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74766D3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lastRenderedPageBreak/>
        <w:t>Суб’єкт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право на яке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Часто позови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в порядку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ст. 392 ЦК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особа не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бажає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 стати,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безхазяйну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самочинного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будівництва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набувальною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давністю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в порядку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новостворене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реконструйоване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нерухоме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спростити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уникнути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законодавством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тривалої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фінансово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затратної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процедури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оформлення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регулюється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окремими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нормами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зазначені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вище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заявляються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формально не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задоволені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бути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9406F56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- будь-яка особа,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сумнівається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належності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позивачеві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ним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правомочності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майна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інтерес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7FC2969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позову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3FCD5B97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оспорювання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втрата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документа,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засвідчує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443F7D68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перебування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позивача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відносинах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перебувають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відносинах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повинні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захищатися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допомогою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норм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інституту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права;</w:t>
      </w:r>
    </w:p>
    <w:p w14:paraId="52BAD88B" w14:textId="77777777" w:rsidR="00B36D88" w:rsidRDefault="00B36D88" w:rsidP="00B36D88">
      <w:pPr>
        <w:pStyle w:val="a4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окрім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судового, шляху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втрати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документа,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засвідчує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одержати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органах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дублікат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правовстановлюючого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документа.</w:t>
      </w:r>
    </w:p>
    <w:p w14:paraId="07D09AD4" w14:textId="77777777" w:rsidR="00B36D88" w:rsidRPr="00B36D88" w:rsidRDefault="00B36D88" w:rsidP="00B36D88">
      <w:pPr>
        <w:rPr>
          <w:b/>
          <w:bCs/>
          <w:sz w:val="24"/>
          <w:szCs w:val="24"/>
          <w:u w:val="single"/>
        </w:rPr>
      </w:pPr>
    </w:p>
    <w:sectPr w:rsidR="00B36D88" w:rsidRPr="00B3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Arial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569"/>
    <w:multiLevelType w:val="multilevel"/>
    <w:tmpl w:val="7E6435EA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A3A3A"/>
        <w:sz w:val="21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2149B8"/>
    <w:multiLevelType w:val="hybridMultilevel"/>
    <w:tmpl w:val="4D4246A2"/>
    <w:lvl w:ilvl="0" w:tplc="2CFAC76E">
      <w:start w:val="2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A3A3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88"/>
    <w:rsid w:val="00B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D17"/>
  <w15:chartTrackingRefBased/>
  <w15:docId w15:val="{603CACB2-98B9-463A-813A-28812A17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B3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6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1</cp:revision>
  <dcterms:created xsi:type="dcterms:W3CDTF">2020-03-25T18:55:00Z</dcterms:created>
  <dcterms:modified xsi:type="dcterms:W3CDTF">2020-03-25T19:06:00Z</dcterms:modified>
</cp:coreProperties>
</file>