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Судимість</w:t>
      </w:r>
    </w:p>
    <w:p>
      <w:pPr>
        <w:pStyle w:val="Основни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План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сновни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</w:rPr>
        <w:t>Поняття та значення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Правові наслідки судимості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</w:rPr>
        <w:t>Погашення та зняття судимості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Рекомендована література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сновний текст"/>
        <w:numPr>
          <w:ilvl w:val="0"/>
          <w:numId w:val="2"/>
        </w:numPr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Голіна 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Судимість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монографія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Харків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Харків юридичний</w:t>
      </w:r>
      <w:r>
        <w:rPr>
          <w:rFonts w:ascii="Times New Roman" w:hAnsi="Times New Roman"/>
          <w:sz w:val="28"/>
          <w:szCs w:val="28"/>
          <w:rtl w:val="0"/>
        </w:rPr>
        <w:t>, 2006.</w:t>
      </w:r>
    </w:p>
    <w:p>
      <w:pPr>
        <w:pStyle w:val="Основни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</w:rPr>
        <w:t>Голіна 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Судимість у змісті кримінальної відповідальності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Вісник Асоціації кримінального права України</w:t>
      </w:r>
      <w:r>
        <w:rPr>
          <w:rFonts w:ascii="Times New Roman" w:hAnsi="Times New Roman"/>
          <w:sz w:val="28"/>
          <w:szCs w:val="28"/>
          <w:rtl w:val="0"/>
        </w:rPr>
        <w:t xml:space="preserve">, 2013.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Основни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</w:rPr>
        <w:t>Муратова С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Судимість в системі інститутів Загальної частини кримінального права України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автореф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дис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канд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юрид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наук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Харків</w:t>
      </w:r>
      <w:r>
        <w:rPr>
          <w:rFonts w:ascii="Times New Roman" w:hAnsi="Times New Roman"/>
          <w:sz w:val="28"/>
          <w:szCs w:val="28"/>
          <w:rtl w:val="0"/>
        </w:rPr>
        <w:t xml:space="preserve">, 2015. </w:t>
      </w:r>
    </w:p>
    <w:p>
      <w:pPr>
        <w:pStyle w:val="Основни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</w:rPr>
        <w:t>Письменський Є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Інститут судимості в кримінальному праві України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Луганськ</w:t>
      </w:r>
      <w:r>
        <w:rPr>
          <w:rFonts w:ascii="Times New Roman" w:hAnsi="Times New Roman"/>
          <w:sz w:val="28"/>
          <w:szCs w:val="28"/>
          <w:rtl w:val="0"/>
        </w:rPr>
        <w:t>, 2008.</w:t>
      </w:r>
    </w:p>
    <w:p>
      <w:pPr>
        <w:pStyle w:val="Основни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</w:rPr>
        <w:t>Ященко 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Застосування заходів кримінально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правового характеру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Харків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Ніка Нова</w:t>
      </w:r>
      <w:r>
        <w:rPr>
          <w:rFonts w:ascii="Times New Roman" w:hAnsi="Times New Roman"/>
          <w:sz w:val="28"/>
          <w:szCs w:val="28"/>
          <w:rtl w:val="0"/>
        </w:rPr>
        <w:t>, 2014.</w:t>
      </w:r>
    </w:p>
    <w:p>
      <w:pPr>
        <w:pStyle w:val="Основни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Акти судового тлумачення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сновний текст"/>
        <w:numPr>
          <w:ilvl w:val="0"/>
          <w:numId w:val="3"/>
        </w:numPr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Постанова Пленуму Верховного Суду України від </w:t>
      </w:r>
      <w:r>
        <w:rPr>
          <w:rFonts w:ascii="Times New Roman" w:hAnsi="Times New Roman"/>
          <w:sz w:val="28"/>
          <w:szCs w:val="28"/>
          <w:rtl w:val="0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грудня </w:t>
      </w:r>
      <w:r>
        <w:rPr>
          <w:rFonts w:ascii="Times New Roman" w:hAnsi="Times New Roman"/>
          <w:sz w:val="28"/>
          <w:szCs w:val="28"/>
          <w:rtl w:val="0"/>
        </w:rPr>
        <w:t xml:space="preserve">2003 </w:t>
      </w:r>
      <w:r>
        <w:rPr>
          <w:rFonts w:ascii="Times New Roman" w:hAnsi="Times New Roman" w:hint="default"/>
          <w:sz w:val="28"/>
          <w:szCs w:val="28"/>
          <w:rtl w:val="0"/>
        </w:rPr>
        <w:t>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Fonts w:ascii="Times New Roman" w:hAnsi="Times New Roman"/>
          <w:sz w:val="28"/>
          <w:szCs w:val="28"/>
          <w:rtl w:val="0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</w:rPr>
        <w:t>«</w:t>
      </w:r>
      <w:r>
        <w:rPr>
          <w:rFonts w:ascii="Times New Roman" w:hAnsi="Times New Roman" w:hint="default"/>
          <w:sz w:val="28"/>
          <w:szCs w:val="28"/>
          <w:rtl w:val="0"/>
        </w:rPr>
        <w:t>Про практику застосування судами України законодавства про погашення і зняття судимості</w:t>
      </w:r>
      <w:r>
        <w:rPr>
          <w:rFonts w:ascii="Times New Roman" w:hAnsi="Times New Roman" w:hint="default"/>
          <w:sz w:val="28"/>
          <w:szCs w:val="28"/>
          <w:rtl w:val="0"/>
        </w:rPr>
        <w:t>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numPr>
          <w:ilvl w:val="0"/>
          <w:numId w:val="4"/>
        </w:numPr>
        <w:spacing w:line="360" w:lineRule="auto"/>
        <w:rPr>
          <w:rFonts w:ascii="Times New Roman" w:hAnsi="Times New Roman" w:hint="default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Поняття та значення судимості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Не дивлячись на 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визначення судимості відсутнє в приписах Кримінального кодексу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значення даного інституту кримінального права слід йменувати як важливе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 п</w:t>
      </w:r>
      <w:r>
        <w:rPr>
          <w:rFonts w:ascii="Times New Roman" w:hAnsi="Times New Roman"/>
          <w:sz w:val="28"/>
          <w:szCs w:val="28"/>
          <w:rtl w:val="0"/>
        </w:rPr>
        <w:t xml:space="preserve">. 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ППВСУ від </w:t>
      </w:r>
      <w:r>
        <w:rPr>
          <w:rFonts w:ascii="Times New Roman" w:hAnsi="Times New Roman"/>
          <w:sz w:val="28"/>
          <w:szCs w:val="28"/>
          <w:rtl w:val="0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грудня </w:t>
      </w:r>
      <w:r>
        <w:rPr>
          <w:rFonts w:ascii="Times New Roman" w:hAnsi="Times New Roman"/>
          <w:sz w:val="28"/>
          <w:szCs w:val="28"/>
          <w:rtl w:val="0"/>
        </w:rPr>
        <w:t xml:space="preserve">2003 </w:t>
      </w:r>
      <w:r>
        <w:rPr>
          <w:rFonts w:ascii="Times New Roman" w:hAnsi="Times New Roman" w:hint="default"/>
          <w:sz w:val="28"/>
          <w:szCs w:val="28"/>
          <w:rtl w:val="0"/>
        </w:rPr>
        <w:t>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№ </w:t>
      </w:r>
      <w:r>
        <w:rPr>
          <w:rFonts w:ascii="Times New Roman" w:hAnsi="Times New Roman"/>
          <w:sz w:val="28"/>
          <w:szCs w:val="28"/>
          <w:rtl w:val="0"/>
        </w:rPr>
        <w:t xml:space="preserve">16 </w:t>
      </w:r>
      <w:r>
        <w:rPr>
          <w:rFonts w:ascii="Times New Roman" w:hAnsi="Times New Roman" w:hint="default"/>
          <w:sz w:val="28"/>
          <w:szCs w:val="28"/>
          <w:rtl w:val="0"/>
        </w:rPr>
        <w:t>«Про практику застосування судами України законодавства про погашення і зняття судимості» тлумачиться поняття судимості як судимість є правовим станом особи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>який  виникає  у зв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язку з її засудженням до кримінального покарання і за зазначених у законі умов  тягне  настання  для  неї певних негативних наслідків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Голіна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надає наукове визначення судимості як «</w:t>
      </w:r>
      <w:r>
        <w:rPr>
          <w:rFonts w:ascii="Times New Roman" w:hAnsi="Times New Roman" w:hint="default"/>
          <w:sz w:val="28"/>
          <w:szCs w:val="28"/>
          <w:rtl w:val="0"/>
        </w:rPr>
        <w:t>її правов</w:t>
      </w:r>
      <w:r>
        <w:rPr>
          <w:rFonts w:ascii="Times New Roman" w:hAnsi="Times New Roman" w:hint="default"/>
          <w:sz w:val="28"/>
          <w:szCs w:val="28"/>
          <w:rtl w:val="0"/>
        </w:rPr>
        <w:t>ий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стан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створен</w:t>
      </w:r>
      <w:r>
        <w:rPr>
          <w:rFonts w:ascii="Times New Roman" w:hAnsi="Times New Roman" w:hint="default"/>
          <w:sz w:val="28"/>
          <w:szCs w:val="28"/>
          <w:rtl w:val="0"/>
        </w:rPr>
        <w:t>ий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реалізацією кримінальної відповідальності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виникає внаслідок засудження винної особи обвинувальним вироком суду за вчинений нею злочин до покарання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який виступає підставою для державного осуду і застосування до неї передбачених законом протягом певного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законом установленого перебігу часу обмежень та позбавлень і відіграє роль сприяючого засобу досягнення і закріплення цілей покарання</w:t>
      </w:r>
      <w:r>
        <w:rPr>
          <w:rFonts w:ascii="Times New Roman" w:hAnsi="Times New Roman" w:hint="default"/>
          <w:sz w:val="28"/>
          <w:szCs w:val="28"/>
          <w:rtl w:val="0"/>
        </w:rPr>
        <w:t>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Враховуючи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надані визначення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необхідно вказати її істотні ознаки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підтримувані кафедрою кримінального права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Панов</w:t>
      </w:r>
      <w:r>
        <w:rPr>
          <w:rFonts w:ascii="Times New Roman" w:hAnsi="Times New Roman"/>
          <w:sz w:val="28"/>
          <w:szCs w:val="28"/>
          <w:rtl w:val="0"/>
        </w:rPr>
        <w:t>):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застосування судимості пов’язується із вчиненням винною особою злочину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кримінального правопорушення</w:t>
      </w:r>
      <w:r>
        <w:rPr>
          <w:rFonts w:ascii="Times New Roman" w:hAnsi="Times New Roman"/>
          <w:sz w:val="28"/>
          <w:szCs w:val="28"/>
          <w:rtl w:val="0"/>
        </w:rPr>
        <w:t>);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визнанням винною особою вироком суду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вступом в законну силу вироку суду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 якому призначено реальне покарання до винної особи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або на час іспитового строку за умови звільнення від відбування покарання</w:t>
      </w:r>
      <w:r>
        <w:rPr>
          <w:rFonts w:ascii="Times New Roman" w:hAnsi="Times New Roman"/>
          <w:sz w:val="28"/>
          <w:szCs w:val="28"/>
          <w:rtl w:val="0"/>
        </w:rPr>
        <w:t>);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судимість завершується її припиненням через погашення або зняття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судимість тягне за собою негативні наслідки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містяться як в КК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так і окремих Законах України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Мета судимості пов’язані із метою покарання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У КК України присвячено окреми розділ ХІІІ Загальної частини питанням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88 </w:t>
      </w:r>
      <w:r>
        <w:rPr>
          <w:rFonts w:ascii="Times New Roman" w:hAnsi="Times New Roman" w:hint="default"/>
          <w:sz w:val="28"/>
          <w:szCs w:val="28"/>
          <w:rtl w:val="0"/>
        </w:rPr>
        <w:t>– правовим наслідкам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89 </w:t>
      </w:r>
      <w:r>
        <w:rPr>
          <w:rFonts w:ascii="Times New Roman" w:hAnsi="Times New Roman" w:hint="default"/>
          <w:sz w:val="28"/>
          <w:szCs w:val="28"/>
          <w:rtl w:val="0"/>
        </w:rPr>
        <w:t>– строкам погашення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90 </w:t>
      </w:r>
      <w:r>
        <w:rPr>
          <w:rFonts w:ascii="Times New Roman" w:hAnsi="Times New Roman" w:hint="default"/>
          <w:sz w:val="28"/>
          <w:szCs w:val="28"/>
          <w:rtl w:val="0"/>
        </w:rPr>
        <w:t>– обчисленню строків погашення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91 </w:t>
      </w:r>
      <w:r>
        <w:rPr>
          <w:rFonts w:ascii="Times New Roman" w:hAnsi="Times New Roman" w:hint="default"/>
          <w:sz w:val="28"/>
          <w:szCs w:val="28"/>
          <w:rtl w:val="0"/>
        </w:rPr>
        <w:t>– зняттю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Окремо в Х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V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розділі Загальної частини КК України «Особливості кримінальної відповідальності та покарання неповнолітніх» вирішуються питання щодо погашення та зняття судимості неповнолітніх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108 </w:t>
      </w:r>
      <w:r>
        <w:rPr>
          <w:rFonts w:ascii="Times New Roman" w:hAnsi="Times New Roman" w:hint="default"/>
          <w:sz w:val="28"/>
          <w:szCs w:val="28"/>
          <w:rtl w:val="0"/>
        </w:rPr>
        <w:t>КК України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Відповідно до ст</w:t>
      </w:r>
      <w:r>
        <w:rPr>
          <w:rFonts w:ascii="Times New Roman" w:hAnsi="Times New Roman"/>
          <w:sz w:val="28"/>
          <w:szCs w:val="28"/>
          <w:rtl w:val="0"/>
        </w:rPr>
        <w:t xml:space="preserve">. 88 </w:t>
      </w:r>
      <w:r>
        <w:rPr>
          <w:rFonts w:ascii="Times New Roman" w:hAnsi="Times New Roman" w:hint="default"/>
          <w:sz w:val="28"/>
          <w:szCs w:val="28"/>
          <w:rtl w:val="0"/>
        </w:rPr>
        <w:t>КК України правові наслідки судимості зводяться до наступного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ий текст"/>
        <w:numPr>
          <w:ilvl w:val="0"/>
          <w:numId w:val="7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Особа визнається такою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має судимість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 дня набрання законної сили обвинувальним вироком і до погашення або зняття судимості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Судимість має правове значення у разі вчинення нового злочину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також в інших випадках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передбачених законами України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Особи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засуджені за вироком суду без призначення покарання або із звільненням від покарання чи такі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відбули покарання за діяння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злочинність і караність якого усунута законом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визнаються такими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не мають судимості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Особи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були реабілітовані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визнаються такими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не мають судимості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Судимість має значення при вирішенні питання щодо зворотної дії закону про кримінальну відповідальність в часі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5);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щодо  повторності злочинів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32);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рецидиву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34); </w:t>
      </w:r>
      <w:r>
        <w:rPr>
          <w:rFonts w:ascii="Times New Roman" w:hAnsi="Times New Roman" w:hint="default"/>
          <w:sz w:val="28"/>
          <w:szCs w:val="28"/>
          <w:rtl w:val="0"/>
        </w:rPr>
        <w:t>умовно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дострокового звільнення від відбування покарання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81, 107); </w:t>
      </w:r>
      <w:r>
        <w:rPr>
          <w:rFonts w:ascii="Times New Roman" w:hAnsi="Times New Roman" w:hint="default"/>
          <w:sz w:val="28"/>
          <w:szCs w:val="28"/>
          <w:rtl w:val="0"/>
        </w:rPr>
        <w:t>з</w:t>
      </w:r>
      <w:r>
        <w:rPr>
          <w:rFonts w:ascii="Times New Roman" w:hAnsi="Times New Roman" w:hint="default"/>
          <w:sz w:val="28"/>
          <w:szCs w:val="28"/>
          <w:rtl w:val="0"/>
        </w:rPr>
        <w:t>амін</w:t>
      </w:r>
      <w:r>
        <w:rPr>
          <w:rFonts w:ascii="Times New Roman" w:hAnsi="Times New Roman" w:hint="default"/>
          <w:sz w:val="28"/>
          <w:szCs w:val="28"/>
          <w:rtl w:val="0"/>
        </w:rPr>
        <w:t>и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невідбутої частини покарання більш м</w:t>
      </w:r>
      <w:r>
        <w:rPr>
          <w:rFonts w:ascii="Times New Roman" w:hAnsi="Times New Roman" w:hint="default"/>
          <w:sz w:val="28"/>
          <w:szCs w:val="28"/>
          <w:rtl w:val="0"/>
        </w:rPr>
        <w:t>’</w:t>
      </w:r>
      <w:r>
        <w:rPr>
          <w:rFonts w:ascii="Times New Roman" w:hAnsi="Times New Roman" w:hint="default"/>
          <w:sz w:val="28"/>
          <w:szCs w:val="28"/>
          <w:rtl w:val="0"/>
        </w:rPr>
        <w:t>яким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82). </w:t>
      </w:r>
      <w:r>
        <w:rPr>
          <w:rFonts w:ascii="Times New Roman" w:hAnsi="Times New Roman" w:hint="default"/>
          <w:sz w:val="28"/>
          <w:szCs w:val="28"/>
          <w:rtl w:val="0"/>
        </w:rPr>
        <w:t>На це звертає увагу й ПВСУ в своїй постанові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 w:hint="default"/>
          <w:sz w:val="28"/>
          <w:szCs w:val="28"/>
          <w:rtl w:val="0"/>
        </w:rPr>
        <w:t>удимість може бути врахована при кваліфікації  повторного злочину  чи  при  призначенні за нього покарання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>а також в інших випадках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передбачених  КК та  законами  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наприклад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щодо </w:t>
      </w:r>
      <w:r>
        <w:rPr>
          <w:rFonts w:ascii="Times New Roman" w:hAnsi="Times New Roman" w:hint="default"/>
          <w:sz w:val="28"/>
          <w:szCs w:val="28"/>
          <w:rtl w:val="0"/>
        </w:rPr>
        <w:t>обмеження  можливості  обіймати  певні посади чи займатися певною діяльністю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>застосування умовно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дострокового звільненн</w:t>
      </w:r>
      <w:r>
        <w:rPr>
          <w:rFonts w:ascii="Times New Roman" w:hAnsi="Times New Roman" w:hint="default"/>
          <w:sz w:val="28"/>
          <w:szCs w:val="28"/>
          <w:rtl w:val="0"/>
        </w:rPr>
        <w:t>я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від відбування покарання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амністії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тощо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</w:rPr>
        <w:t>п</w:t>
      </w:r>
      <w:r>
        <w:rPr>
          <w:rFonts w:ascii="Times New Roman" w:hAnsi="Times New Roman"/>
          <w:sz w:val="28"/>
          <w:szCs w:val="28"/>
          <w:rtl w:val="0"/>
        </w:rPr>
        <w:t>. 2).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Негативні наслідки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пов’язані з судимістю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містяться в інших Законах України часто пов’язуються із неможливістю займати певні посади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Так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наприклад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ст</w:t>
      </w:r>
      <w:r>
        <w:rPr>
          <w:rFonts w:ascii="Times New Roman" w:hAnsi="Times New Roman"/>
          <w:sz w:val="28"/>
          <w:szCs w:val="28"/>
          <w:rtl w:val="0"/>
        </w:rPr>
        <w:t xml:space="preserve">. 76 </w:t>
      </w:r>
      <w:r>
        <w:rPr>
          <w:rFonts w:ascii="Times New Roman" w:hAnsi="Times New Roman" w:hint="default"/>
          <w:sz w:val="28"/>
          <w:szCs w:val="28"/>
          <w:rtl w:val="0"/>
        </w:rPr>
        <w:t>Конституції України вказується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«н</w:t>
      </w:r>
      <w:r>
        <w:rPr>
          <w:rFonts w:ascii="Times New Roman" w:hAnsi="Times New Roman" w:hint="default"/>
          <w:sz w:val="28"/>
          <w:szCs w:val="28"/>
          <w:rtl w:val="0"/>
        </w:rPr>
        <w:t>е може бути обраним до Верховної Ради України громадянин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який має судимість за вчинення умисного злочину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якщо ця судимість не погашена і не знята у встановленому законом порядку</w:t>
      </w:r>
      <w:r>
        <w:rPr>
          <w:rFonts w:ascii="Times New Roman" w:hAnsi="Times New Roman" w:hint="default"/>
          <w:sz w:val="28"/>
          <w:szCs w:val="28"/>
          <w:rtl w:val="0"/>
        </w:rPr>
        <w:t>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Відповідно до Законів України «Про судоустрій та статус суддів»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65, 69),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«Про прокуратуру»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27) </w:t>
      </w:r>
      <w:r>
        <w:rPr>
          <w:rFonts w:ascii="Times New Roman" w:hAnsi="Times New Roman" w:hint="default"/>
          <w:sz w:val="28"/>
          <w:szCs w:val="28"/>
          <w:rtl w:val="0"/>
        </w:rPr>
        <w:t>не може бути призначений суддею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присяжним або прокурором громадянин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який має непогашену або незняту судимість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Подібна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але менш сувора вимога встановлена для адвокатів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6 </w:t>
      </w:r>
      <w:r>
        <w:rPr>
          <w:rFonts w:ascii="Times New Roman" w:hAnsi="Times New Roman" w:hint="default"/>
          <w:sz w:val="28"/>
          <w:szCs w:val="28"/>
          <w:rtl w:val="0"/>
        </w:rPr>
        <w:t>Закону України «Про адвокатуру та адвокатську діяльність»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 w:hint="default"/>
          <w:sz w:val="28"/>
          <w:szCs w:val="28"/>
          <w:rtl w:val="0"/>
        </w:rPr>
        <w:t>має непогашену чи незняту в установленому законом порядку судимість за вчинення тяжкого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особливо тяжкого злочину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також злочину середньої тяжкості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 який призначено покарання у виді позбавлення волі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Для відмови в службі поліцейським встановлено більш сувору вимогу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крім </w:t>
      </w:r>
      <w:r>
        <w:rPr>
          <w:rFonts w:ascii="Times New Roman" w:hAnsi="Times New Roman" w:hint="default"/>
          <w:sz w:val="28"/>
          <w:szCs w:val="28"/>
          <w:rtl w:val="0"/>
        </w:rPr>
        <w:t>судим</w:t>
      </w:r>
      <w:r>
        <w:rPr>
          <w:rFonts w:ascii="Times New Roman" w:hAnsi="Times New Roman" w:hint="default"/>
          <w:sz w:val="28"/>
          <w:szCs w:val="28"/>
          <w:rtl w:val="0"/>
        </w:rPr>
        <w:t>о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 w:hint="default"/>
          <w:sz w:val="28"/>
          <w:szCs w:val="28"/>
          <w:rtl w:val="0"/>
        </w:rPr>
        <w:t>і</w:t>
      </w:r>
      <w:r>
        <w:rPr>
          <w:rFonts w:ascii="Times New Roman" w:hAnsi="Times New Roman"/>
          <w:sz w:val="28"/>
          <w:szCs w:val="28"/>
          <w:rtl w:val="0"/>
        </w:rPr>
        <w:t>,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як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погашена чи знята у визначеному законом порядку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Поліцейським не може бути особа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засуджена за умисне вчинення тяжкого та особливо тяжкого злочину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Такі ускладнення пов’язуються з можливими зв’язками з кримінальним світом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зміненням світогляду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неможливістю служити суспільству та відповідною недовірою суспільства щодо можливості займаної посади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 цьому сенсі цікавою є практика Європейського суду з прав людини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У справі Лекавічієне проти Литви від </w:t>
      </w:r>
      <w:r>
        <w:rPr>
          <w:rFonts w:ascii="Times New Roman" w:hAnsi="Times New Roman"/>
          <w:sz w:val="28"/>
          <w:szCs w:val="28"/>
          <w:rtl w:val="0"/>
        </w:rPr>
        <w:t xml:space="preserve">27.06.2017 </w:t>
      </w:r>
      <w:r>
        <w:rPr>
          <w:rFonts w:ascii="Times New Roman" w:hAnsi="Times New Roman" w:hint="default"/>
          <w:sz w:val="28"/>
          <w:szCs w:val="28"/>
          <w:rtl w:val="0"/>
        </w:rPr>
        <w:t>р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ЄСПЛ підтвердив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до такою професії як адвокат литовське законодавство може містити більш високі вимоги до кандидатів на посаду адвоката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крім встановленого зняття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ще високої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бездоганної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моральної репутації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Факт зняття судимості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за вчинення шахрайства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не може свідчити про відновлення її репутації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Таким чином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особа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 якої знято судимість не змогла відновити себе в статусі адвоката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оскільки її репутацію було спаплюжено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Погашення та зняття судимості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Погашення і зняття судимості є різними формами припинення стану судимості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КК України не визначає поняття «погашення та зняття судимості»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однак у ст</w:t>
      </w:r>
      <w:r>
        <w:rPr>
          <w:rFonts w:ascii="Times New Roman" w:hAnsi="Times New Roman"/>
          <w:sz w:val="28"/>
          <w:szCs w:val="28"/>
          <w:rtl w:val="0"/>
        </w:rPr>
        <w:t xml:space="preserve">. 89 </w:t>
      </w:r>
      <w:r>
        <w:rPr>
          <w:rFonts w:ascii="Times New Roman" w:hAnsi="Times New Roman" w:hint="default"/>
          <w:sz w:val="28"/>
          <w:szCs w:val="28"/>
          <w:rtl w:val="0"/>
        </w:rPr>
        <w:t>надає перелік випадків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при настанні яких особи вважаються такими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не мають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 ст</w:t>
      </w:r>
      <w:r>
        <w:rPr>
          <w:rFonts w:ascii="Times New Roman" w:hAnsi="Times New Roman"/>
          <w:sz w:val="28"/>
          <w:szCs w:val="28"/>
          <w:rtl w:val="0"/>
        </w:rPr>
        <w:t xml:space="preserve">. 90 </w:t>
      </w:r>
      <w:r>
        <w:rPr>
          <w:rFonts w:ascii="Times New Roman" w:hAnsi="Times New Roman" w:hint="default"/>
          <w:sz w:val="28"/>
          <w:szCs w:val="28"/>
          <w:rtl w:val="0"/>
        </w:rPr>
        <w:t>вже вказуються правила обчислення строків погашення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Слід погодитися з науковим визначенням погашенн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яке надав 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Голіна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«</w:t>
      </w:r>
      <w:r>
        <w:rPr>
          <w:rFonts w:ascii="Times New Roman" w:hAnsi="Times New Roman" w:hint="default"/>
          <w:sz w:val="28"/>
          <w:szCs w:val="28"/>
          <w:rtl w:val="0"/>
        </w:rPr>
        <w:t>це припинення стану судимості автоматично в силу самого закону при дотриманні певних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ним передбачених умов у всіх засуджених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крім осіб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позбавлених волі довічно</w:t>
      </w:r>
      <w:r>
        <w:rPr>
          <w:rFonts w:ascii="Times New Roman" w:hAnsi="Times New Roman" w:hint="default"/>
          <w:sz w:val="28"/>
          <w:szCs w:val="28"/>
          <w:rtl w:val="0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Наприклад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згідно п</w:t>
      </w:r>
      <w:r>
        <w:rPr>
          <w:rFonts w:ascii="Times New Roman" w:hAnsi="Times New Roman"/>
          <w:sz w:val="28"/>
          <w:szCs w:val="28"/>
          <w:rtl w:val="0"/>
        </w:rPr>
        <w:t xml:space="preserve">. 9 </w:t>
      </w:r>
      <w:r>
        <w:rPr>
          <w:rFonts w:ascii="Times New Roman" w:hAnsi="Times New Roman" w:hint="default"/>
          <w:sz w:val="28"/>
          <w:szCs w:val="28"/>
          <w:rtl w:val="0"/>
        </w:rPr>
        <w:t>ч</w:t>
      </w:r>
      <w:r>
        <w:rPr>
          <w:rFonts w:ascii="Times New Roman" w:hAnsi="Times New Roman"/>
          <w:sz w:val="28"/>
          <w:szCs w:val="28"/>
          <w:rtl w:val="0"/>
        </w:rPr>
        <w:t xml:space="preserve">. 1 </w:t>
      </w:r>
      <w:r>
        <w:rPr>
          <w:rFonts w:ascii="Times New Roman" w:hAnsi="Times New Roman" w:hint="default"/>
          <w:sz w:val="28"/>
          <w:szCs w:val="28"/>
          <w:rtl w:val="0"/>
        </w:rPr>
        <w:t>ст</w:t>
      </w:r>
      <w:r>
        <w:rPr>
          <w:rFonts w:ascii="Times New Roman" w:hAnsi="Times New Roman"/>
          <w:sz w:val="28"/>
          <w:szCs w:val="28"/>
          <w:rtl w:val="0"/>
        </w:rPr>
        <w:t xml:space="preserve">. 89 </w:t>
      </w:r>
      <w:r>
        <w:rPr>
          <w:rFonts w:ascii="Times New Roman" w:hAnsi="Times New Roman" w:hint="default"/>
          <w:sz w:val="28"/>
          <w:szCs w:val="28"/>
          <w:rtl w:val="0"/>
        </w:rPr>
        <w:t>КК України «</w:t>
      </w:r>
      <w:r>
        <w:rPr>
          <w:rFonts w:ascii="Times New Roman" w:hAnsi="Times New Roman" w:hint="default"/>
          <w:sz w:val="28"/>
          <w:szCs w:val="28"/>
          <w:rtl w:val="0"/>
        </w:rPr>
        <w:t>особи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засуджені до позбавлення волі або основного покарання у виді штрафу за особливо тяжкий злочин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якщо вони протягом восьми років з дня відбуття покарання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основного та додаткового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не вчинять нового злочину</w:t>
      </w:r>
      <w:r>
        <w:rPr>
          <w:rFonts w:ascii="Times New Roman" w:hAnsi="Times New Roman" w:hint="default"/>
          <w:sz w:val="28"/>
          <w:szCs w:val="28"/>
          <w:rtl w:val="0"/>
        </w:rPr>
        <w:t>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spacing w:line="360" w:lineRule="auto"/>
        <w:ind w:firstLine="567"/>
        <w:jc w:val="both"/>
      </w:pPr>
      <w:r>
        <w:rPr>
          <w:rFonts w:ascii="Times New Roman" w:hAnsi="Times New Roman" w:hint="default"/>
          <w:sz w:val="28"/>
          <w:szCs w:val="28"/>
          <w:rtl w:val="0"/>
        </w:rPr>
        <w:t>При формулюванні поняття «</w:t>
      </w:r>
      <w:r>
        <w:rPr>
          <w:rFonts w:ascii="Times New Roman" w:hAnsi="Times New Roman" w:hint="default"/>
          <w:sz w:val="28"/>
          <w:szCs w:val="28"/>
          <w:rtl w:val="0"/>
        </w:rPr>
        <w:t>зняття судимості</w:t>
      </w:r>
      <w:r>
        <w:rPr>
          <w:rFonts w:ascii="Times New Roman" w:hAnsi="Times New Roman" w:hint="default"/>
          <w:sz w:val="28"/>
          <w:szCs w:val="28"/>
          <w:rtl w:val="0"/>
        </w:rPr>
        <w:t>» слід мати на увазі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таке припинення стану судимості здійснюється судом не автоматично як при погашенні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достроково при настанні певних умов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названих в КК України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 ст</w:t>
      </w:r>
      <w:r>
        <w:rPr>
          <w:rFonts w:ascii="Times New Roman" w:hAnsi="Times New Roman"/>
          <w:sz w:val="28"/>
          <w:szCs w:val="28"/>
          <w:rtl w:val="0"/>
        </w:rPr>
        <w:t xml:space="preserve">. 91 </w:t>
      </w:r>
      <w:r>
        <w:rPr>
          <w:rFonts w:ascii="Times New Roman" w:hAnsi="Times New Roman" w:hint="default"/>
          <w:sz w:val="28"/>
          <w:szCs w:val="28"/>
          <w:rtl w:val="0"/>
        </w:rPr>
        <w:t>КК України умовами зняття судимості визнаються</w:t>
      </w:r>
      <w:r>
        <w:rPr>
          <w:rFonts w:ascii="Times New Roman" w:hAnsi="Times New Roman"/>
          <w:sz w:val="28"/>
          <w:szCs w:val="28"/>
          <w:rtl w:val="0"/>
        </w:rPr>
        <w:t xml:space="preserve">: 1) </w:t>
      </w:r>
      <w:r>
        <w:rPr>
          <w:rFonts w:ascii="Times New Roman" w:hAnsi="Times New Roman" w:hint="default"/>
          <w:sz w:val="28"/>
          <w:szCs w:val="28"/>
          <w:rtl w:val="0"/>
        </w:rPr>
        <w:t>відбуття покарання у виді обмеження волі або позбавлення волі</w:t>
      </w:r>
      <w:r>
        <w:rPr>
          <w:rFonts w:ascii="Times New Roman" w:hAnsi="Times New Roman"/>
          <w:sz w:val="28"/>
          <w:szCs w:val="28"/>
          <w:rtl w:val="0"/>
        </w:rPr>
        <w:t xml:space="preserve">; 2) </w:t>
      </w:r>
      <w:r>
        <w:rPr>
          <w:rFonts w:ascii="Times New Roman" w:hAnsi="Times New Roman" w:hint="default"/>
          <w:sz w:val="28"/>
          <w:szCs w:val="28"/>
          <w:rtl w:val="0"/>
        </w:rPr>
        <w:t>дове</w:t>
      </w:r>
      <w:r>
        <w:rPr>
          <w:rFonts w:ascii="Times New Roman" w:hAnsi="Times New Roman" w:hint="default"/>
          <w:sz w:val="28"/>
          <w:szCs w:val="28"/>
          <w:rtl w:val="0"/>
        </w:rPr>
        <w:t>дення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сво</w:t>
      </w:r>
      <w:r>
        <w:rPr>
          <w:rFonts w:ascii="Times New Roman" w:hAnsi="Times New Roman" w:hint="default"/>
          <w:sz w:val="28"/>
          <w:szCs w:val="28"/>
          <w:rtl w:val="0"/>
        </w:rPr>
        <w:t>го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виправлення зразков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ою </w:t>
      </w:r>
      <w:r>
        <w:rPr>
          <w:rFonts w:ascii="Times New Roman" w:hAnsi="Times New Roman" w:hint="default"/>
          <w:sz w:val="28"/>
          <w:szCs w:val="28"/>
          <w:rtl w:val="0"/>
        </w:rPr>
        <w:t>поведінк</w:t>
      </w:r>
      <w:r>
        <w:rPr>
          <w:rFonts w:ascii="Times New Roman" w:hAnsi="Times New Roman" w:hint="default"/>
          <w:sz w:val="28"/>
          <w:szCs w:val="28"/>
          <w:rtl w:val="0"/>
        </w:rPr>
        <w:t>ою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і сумлінн</w:t>
      </w:r>
      <w:r>
        <w:rPr>
          <w:rFonts w:ascii="Times New Roman" w:hAnsi="Times New Roman" w:hint="default"/>
          <w:sz w:val="28"/>
          <w:szCs w:val="28"/>
          <w:rtl w:val="0"/>
        </w:rPr>
        <w:t>им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ставленням до праці</w:t>
      </w:r>
      <w:r>
        <w:rPr>
          <w:rFonts w:ascii="Times New Roman" w:hAnsi="Times New Roman"/>
          <w:sz w:val="28"/>
          <w:szCs w:val="28"/>
          <w:rtl w:val="0"/>
        </w:rPr>
        <w:t xml:space="preserve">; 3) </w:t>
      </w:r>
      <w:r>
        <w:rPr>
          <w:rFonts w:ascii="Times New Roman" w:hAnsi="Times New Roman" w:hint="default"/>
          <w:sz w:val="28"/>
          <w:szCs w:val="28"/>
          <w:rtl w:val="0"/>
        </w:rPr>
        <w:t>закінчення не менш як половини строку погашення судимості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зазначеного у статті </w:t>
      </w:r>
      <w:r>
        <w:rPr>
          <w:rFonts w:ascii="Times New Roman" w:hAnsi="Times New Roman"/>
          <w:sz w:val="28"/>
          <w:szCs w:val="28"/>
          <w:rtl w:val="0"/>
        </w:rPr>
        <w:t xml:space="preserve">89 </w:t>
      </w:r>
      <w:r>
        <w:rPr>
          <w:rFonts w:ascii="Times New Roman" w:hAnsi="Times New Roman" w:hint="default"/>
          <w:sz w:val="28"/>
          <w:szCs w:val="28"/>
          <w:rtl w:val="0"/>
        </w:rPr>
        <w:t>КК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України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Зняття судимості до закінчення строків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зазначених у статті </w:t>
      </w:r>
      <w:r>
        <w:rPr>
          <w:rFonts w:ascii="Times New Roman" w:hAnsi="Times New Roman"/>
          <w:sz w:val="28"/>
          <w:szCs w:val="28"/>
          <w:rtl w:val="0"/>
        </w:rPr>
        <w:t xml:space="preserve">89 </w:t>
      </w:r>
      <w:r>
        <w:rPr>
          <w:rFonts w:ascii="Times New Roman" w:hAnsi="Times New Roman" w:hint="default"/>
          <w:sz w:val="28"/>
          <w:szCs w:val="28"/>
          <w:rtl w:val="0"/>
        </w:rPr>
        <w:t>цього Кодексу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 допускається у випадках засудження за умисні тяжкі та особливо тяжкі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також корупційні злочини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При цьому слід наголосити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зняття судимості за цих обставин є правом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суд</w:t>
      </w:r>
      <w:r>
        <w:rPr>
          <w:rFonts w:ascii="Times New Roman" w:hAnsi="Times New Roman" w:hint="default"/>
          <w:sz w:val="28"/>
          <w:szCs w:val="28"/>
          <w:rtl w:val="0"/>
        </w:rPr>
        <w:t>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не обов’язком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Виноска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Дроздов О</w:t>
      </w:r>
      <w:r>
        <w:rPr>
          <w:rFonts w:cs="Arial Unicode MS" w:eastAsia="Arial Unicode MS"/>
          <w:rtl w:val="0"/>
        </w:rPr>
        <w:t xml:space="preserve">., </w:t>
      </w:r>
      <w:r>
        <w:rPr>
          <w:rFonts w:cs="Arial Unicode MS" w:eastAsia="Arial Unicode MS" w:hint="default"/>
          <w:rtl w:val="0"/>
        </w:rPr>
        <w:t>Дроздова О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Підмочена репутація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i w:val="1"/>
          <w:iCs w:val="1"/>
          <w:rtl w:val="0"/>
        </w:rPr>
        <w:t>Закон і бізнес</w:t>
      </w:r>
      <w:r>
        <w:rPr>
          <w:rFonts w:cs="Arial Unicode MS" w:eastAsia="Arial Unicode MS"/>
          <w:rtl w:val="0"/>
        </w:rPr>
        <w:t xml:space="preserve">. 2017. </w:t>
      </w:r>
      <w:r>
        <w:rPr>
          <w:rFonts w:cs="Arial Unicode MS" w:eastAsia="Arial Unicode MS" w:hint="default"/>
          <w:rtl w:val="0"/>
        </w:rPr>
        <w:t xml:space="preserve">№ </w:t>
      </w:r>
      <w:r>
        <w:rPr>
          <w:rFonts w:cs="Arial Unicode MS" w:eastAsia="Arial Unicode MS"/>
          <w:rtl w:val="0"/>
        </w:rPr>
        <w:t xml:space="preserve">28 (1326): </w:t>
      </w:r>
      <w:r>
        <w:rPr>
          <w:rFonts w:cs="Arial Unicode MS" w:eastAsia="Arial Unicode MS"/>
          <w:rtl w:val="0"/>
          <w:lang w:val="en-US"/>
        </w:rPr>
        <w:t>https://zib.com.ua/ua/129501-navit_znyata_sudimist_mozhe_stati_na_zavadi_povernennyu_v_ad.html</w:t>
      </w:r>
    </w:p>
  </w:footnote>
  <w:footnote w:id="2">
    <w:p>
      <w:pPr>
        <w:pStyle w:val="Виноска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Голіна 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В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Судимість у змісті кримінальної відповідальності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i w:val="1"/>
          <w:iCs w:val="1"/>
          <w:rtl w:val="0"/>
        </w:rPr>
        <w:t>Вісник Асоціації кримінального права України</w:t>
      </w:r>
      <w:r>
        <w:rPr>
          <w:rFonts w:cs="Arial Unicode MS" w:eastAsia="Arial Unicode MS"/>
          <w:rtl w:val="0"/>
        </w:rPr>
        <w:t xml:space="preserve">, 2013, </w:t>
      </w:r>
      <w:r>
        <w:rPr>
          <w:rFonts w:cs="Arial Unicode MS" w:eastAsia="Arial Unicode MS" w:hint="default"/>
          <w:rtl w:val="0"/>
        </w:rPr>
        <w:t>№</w:t>
      </w:r>
      <w:r>
        <w:rPr>
          <w:rFonts w:cs="Arial Unicode MS" w:eastAsia="Arial Unicode MS"/>
          <w:rtl w:val="0"/>
        </w:rPr>
        <w:t xml:space="preserve"> 1(1)</w:t>
      </w:r>
      <w:r>
        <w:rPr>
          <w:rFonts w:cs="Arial Unicode MS" w:eastAsia="Arial Unicode MS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Букви"/>
  </w:abstractNum>
  <w:abstractNum w:abstractNumId="3">
    <w:multiLevelType w:val="hybridMultilevel"/>
    <w:styleLink w:val="Букви"/>
    <w:lvl w:ilvl="0">
      <w:start w:val="1"/>
      <w:numFmt w:val="decimal"/>
      <w:suff w:val="tab"/>
      <w:lvlText w:val="%1)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1385"/>
        </w:tabs>
        <w:ind w:left="8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1745"/>
        </w:tabs>
        <w:ind w:left="11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2105"/>
        </w:tabs>
        <w:ind w:left="15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2465"/>
        </w:tabs>
        <w:ind w:left="189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2825"/>
        </w:tabs>
        <w:ind w:left="22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3185"/>
        </w:tabs>
        <w:ind w:left="26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3545"/>
        </w:tabs>
        <w:ind w:left="29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3905"/>
        </w:tabs>
        <w:ind w:left="33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385"/>
          </w:tabs>
          <w:ind w:left="81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745"/>
          </w:tabs>
          <w:ind w:left="117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105"/>
          </w:tabs>
          <w:ind w:left="153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2465"/>
          </w:tabs>
          <w:ind w:left="189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2825"/>
          </w:tabs>
          <w:ind w:left="225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185"/>
          </w:tabs>
          <w:ind w:left="261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3545"/>
          </w:tabs>
          <w:ind w:left="297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3905"/>
          </w:tabs>
          <w:ind w:left="3338" w:firstLine="1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Номери">
    <w:name w:val="Номери"/>
    <w:pPr>
      <w:numPr>
        <w:numId w:val="1"/>
      </w:numPr>
    </w:pPr>
  </w:style>
  <w:style w:type="numbering" w:styleId="Букви">
    <w:name w:val="Букви"/>
    <w:pPr>
      <w:numPr>
        <w:numId w:val="5"/>
      </w:numPr>
    </w:pPr>
  </w:style>
  <w:style w:type="paragraph" w:styleId="Виноска">
    <w:name w:val="Виноска"/>
    <w:next w:val="Ви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