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5B33" w:rsidRPr="00EF0EC8" w:rsidRDefault="00F857E1" w:rsidP="00F857E1">
      <w:pPr>
        <w:spacing w:after="0" w:line="360" w:lineRule="auto"/>
        <w:ind w:firstLine="709"/>
        <w:jc w:val="center"/>
        <w:rPr>
          <w:rFonts w:ascii="Times New Roman" w:hAnsi="Times New Roman" w:cs="Times New Roman"/>
          <w:b/>
          <w:bCs/>
          <w:sz w:val="28"/>
          <w:szCs w:val="28"/>
        </w:rPr>
      </w:pPr>
      <w:proofErr w:type="spellStart"/>
      <w:r w:rsidRPr="00EF0EC8">
        <w:rPr>
          <w:rFonts w:ascii="Times New Roman" w:hAnsi="Times New Roman" w:cs="Times New Roman"/>
          <w:b/>
          <w:bCs/>
          <w:sz w:val="28"/>
          <w:szCs w:val="28"/>
        </w:rPr>
        <w:t>Баулін</w:t>
      </w:r>
      <w:proofErr w:type="spellEnd"/>
      <w:r w:rsidRPr="00EF0EC8">
        <w:rPr>
          <w:rFonts w:ascii="Times New Roman" w:hAnsi="Times New Roman" w:cs="Times New Roman"/>
          <w:b/>
          <w:bCs/>
          <w:sz w:val="28"/>
          <w:szCs w:val="28"/>
        </w:rPr>
        <w:t xml:space="preserve"> Ю.В.</w:t>
      </w:r>
    </w:p>
    <w:p w:rsidR="00F857E1" w:rsidRPr="00EF0EC8" w:rsidRDefault="00F857E1" w:rsidP="00F857E1">
      <w:pPr>
        <w:spacing w:after="0" w:line="360" w:lineRule="auto"/>
        <w:ind w:firstLine="709"/>
        <w:jc w:val="center"/>
        <w:rPr>
          <w:rFonts w:ascii="Times New Roman" w:hAnsi="Times New Roman" w:cs="Times New Roman"/>
          <w:i/>
          <w:iCs/>
          <w:sz w:val="28"/>
          <w:szCs w:val="28"/>
        </w:rPr>
      </w:pPr>
      <w:r w:rsidRPr="00EF0EC8">
        <w:rPr>
          <w:rFonts w:ascii="Times New Roman" w:hAnsi="Times New Roman" w:cs="Times New Roman"/>
          <w:i/>
          <w:iCs/>
          <w:sz w:val="28"/>
          <w:szCs w:val="28"/>
        </w:rPr>
        <w:t>Національний юридичний університет</w:t>
      </w:r>
    </w:p>
    <w:p w:rsidR="00F857E1" w:rsidRPr="00EF0EC8" w:rsidRDefault="00F857E1" w:rsidP="00F857E1">
      <w:pPr>
        <w:spacing w:after="0" w:line="360" w:lineRule="auto"/>
        <w:ind w:firstLine="709"/>
        <w:jc w:val="center"/>
        <w:rPr>
          <w:rFonts w:ascii="Times New Roman" w:hAnsi="Times New Roman" w:cs="Times New Roman"/>
          <w:i/>
          <w:iCs/>
          <w:sz w:val="28"/>
          <w:szCs w:val="28"/>
        </w:rPr>
      </w:pPr>
      <w:r w:rsidRPr="00EF0EC8">
        <w:rPr>
          <w:rFonts w:ascii="Times New Roman" w:hAnsi="Times New Roman" w:cs="Times New Roman"/>
          <w:i/>
          <w:iCs/>
          <w:sz w:val="28"/>
          <w:szCs w:val="28"/>
        </w:rPr>
        <w:t>імені Ярослава Мудрого,</w:t>
      </w:r>
    </w:p>
    <w:p w:rsidR="00F857E1" w:rsidRPr="00EF0EC8" w:rsidRDefault="00F857E1" w:rsidP="00F857E1">
      <w:pPr>
        <w:spacing w:after="0" w:line="360" w:lineRule="auto"/>
        <w:ind w:firstLine="709"/>
        <w:jc w:val="center"/>
        <w:rPr>
          <w:rFonts w:ascii="Times New Roman" w:hAnsi="Times New Roman" w:cs="Times New Roman"/>
          <w:i/>
          <w:iCs/>
          <w:sz w:val="28"/>
          <w:szCs w:val="28"/>
        </w:rPr>
      </w:pPr>
      <w:r w:rsidRPr="00EF0EC8">
        <w:rPr>
          <w:rFonts w:ascii="Times New Roman" w:hAnsi="Times New Roman" w:cs="Times New Roman"/>
          <w:i/>
          <w:iCs/>
          <w:sz w:val="28"/>
          <w:szCs w:val="28"/>
        </w:rPr>
        <w:t>професор кафедри кримінального права,</w:t>
      </w:r>
    </w:p>
    <w:p w:rsidR="00F857E1" w:rsidRPr="00EF0EC8" w:rsidRDefault="00F857E1" w:rsidP="00F857E1">
      <w:pPr>
        <w:spacing w:after="0" w:line="360" w:lineRule="auto"/>
        <w:ind w:firstLine="709"/>
        <w:jc w:val="center"/>
        <w:rPr>
          <w:rFonts w:ascii="Times New Roman" w:hAnsi="Times New Roman" w:cs="Times New Roman"/>
          <w:i/>
          <w:iCs/>
          <w:sz w:val="28"/>
          <w:szCs w:val="28"/>
        </w:rPr>
      </w:pPr>
      <w:r w:rsidRPr="00EF0EC8">
        <w:rPr>
          <w:rFonts w:ascii="Times New Roman" w:hAnsi="Times New Roman" w:cs="Times New Roman"/>
          <w:i/>
          <w:iCs/>
          <w:sz w:val="28"/>
          <w:szCs w:val="28"/>
        </w:rPr>
        <w:t>доктор юридичних наук, професор,</w:t>
      </w:r>
    </w:p>
    <w:p w:rsidR="00F857E1" w:rsidRPr="00EF0EC8" w:rsidRDefault="00F857E1" w:rsidP="00F857E1">
      <w:pPr>
        <w:spacing w:after="0" w:line="360" w:lineRule="auto"/>
        <w:ind w:firstLine="709"/>
        <w:jc w:val="center"/>
        <w:rPr>
          <w:rFonts w:ascii="Times New Roman" w:hAnsi="Times New Roman" w:cs="Times New Roman"/>
          <w:i/>
          <w:iCs/>
          <w:sz w:val="28"/>
          <w:szCs w:val="28"/>
        </w:rPr>
      </w:pPr>
      <w:r w:rsidRPr="00EF0EC8">
        <w:rPr>
          <w:rFonts w:ascii="Times New Roman" w:hAnsi="Times New Roman" w:cs="Times New Roman"/>
          <w:i/>
          <w:iCs/>
          <w:sz w:val="28"/>
          <w:szCs w:val="28"/>
        </w:rPr>
        <w:t>голова робочої групи з питан</w:t>
      </w:r>
      <w:r w:rsidR="00204020" w:rsidRPr="00EF0EC8">
        <w:rPr>
          <w:rFonts w:ascii="Times New Roman" w:hAnsi="Times New Roman" w:cs="Times New Roman"/>
          <w:i/>
          <w:iCs/>
          <w:sz w:val="28"/>
          <w:szCs w:val="28"/>
        </w:rPr>
        <w:t>ь</w:t>
      </w:r>
      <w:r w:rsidRPr="00EF0EC8">
        <w:rPr>
          <w:rFonts w:ascii="Times New Roman" w:hAnsi="Times New Roman" w:cs="Times New Roman"/>
          <w:i/>
          <w:iCs/>
          <w:sz w:val="28"/>
          <w:szCs w:val="28"/>
        </w:rPr>
        <w:t xml:space="preserve"> розвитку кримінального права</w:t>
      </w:r>
    </w:p>
    <w:p w:rsidR="00F857E1" w:rsidRPr="00EF0EC8" w:rsidRDefault="00F857E1" w:rsidP="00F857E1">
      <w:pPr>
        <w:spacing w:after="0" w:line="360" w:lineRule="auto"/>
        <w:ind w:firstLine="709"/>
        <w:jc w:val="center"/>
        <w:rPr>
          <w:rFonts w:ascii="Times New Roman" w:hAnsi="Times New Roman" w:cs="Times New Roman"/>
          <w:i/>
          <w:iCs/>
          <w:sz w:val="28"/>
          <w:szCs w:val="28"/>
        </w:rPr>
      </w:pPr>
      <w:r w:rsidRPr="00EF0EC8">
        <w:rPr>
          <w:rFonts w:ascii="Times New Roman" w:hAnsi="Times New Roman" w:cs="Times New Roman"/>
          <w:i/>
          <w:iCs/>
          <w:sz w:val="28"/>
          <w:szCs w:val="28"/>
        </w:rPr>
        <w:t xml:space="preserve">Комісії з  питань правової </w:t>
      </w:r>
      <w:r w:rsidR="00204020" w:rsidRPr="00EF0EC8">
        <w:rPr>
          <w:rFonts w:ascii="Times New Roman" w:hAnsi="Times New Roman" w:cs="Times New Roman"/>
          <w:i/>
          <w:iCs/>
          <w:sz w:val="28"/>
          <w:szCs w:val="28"/>
        </w:rPr>
        <w:t>реформи при Президентові України</w:t>
      </w:r>
    </w:p>
    <w:p w:rsidR="00204020" w:rsidRPr="00EF0EC8" w:rsidRDefault="00204020" w:rsidP="00F857E1">
      <w:pPr>
        <w:spacing w:after="0" w:line="360" w:lineRule="auto"/>
        <w:ind w:firstLine="709"/>
        <w:jc w:val="center"/>
        <w:rPr>
          <w:rFonts w:ascii="Times New Roman" w:hAnsi="Times New Roman" w:cs="Times New Roman"/>
          <w:b/>
          <w:bCs/>
          <w:sz w:val="28"/>
          <w:szCs w:val="28"/>
        </w:rPr>
      </w:pPr>
      <w:r w:rsidRPr="00EF0EC8">
        <w:rPr>
          <w:rFonts w:ascii="Times New Roman" w:hAnsi="Times New Roman" w:cs="Times New Roman"/>
          <w:b/>
          <w:bCs/>
          <w:sz w:val="28"/>
          <w:szCs w:val="28"/>
        </w:rPr>
        <w:t xml:space="preserve">ОСОБЛИВОСТІ КРИМІНАЛЬНО-ПРАВОВОГО РЕГУЛЮВАННЯ ПІД ЧАС ВОЄННОГО СТАНУ В УКРАЇНІ </w:t>
      </w:r>
    </w:p>
    <w:p w:rsidR="00204020" w:rsidRPr="00EF0EC8" w:rsidRDefault="00204020" w:rsidP="00DE7F72">
      <w:pPr>
        <w:pStyle w:val="a3"/>
        <w:numPr>
          <w:ilvl w:val="0"/>
          <w:numId w:val="1"/>
        </w:numPr>
        <w:spacing w:after="0" w:line="360" w:lineRule="auto"/>
        <w:ind w:left="0" w:firstLine="709"/>
        <w:jc w:val="both"/>
        <w:rPr>
          <w:rFonts w:ascii="Times New Roman" w:hAnsi="Times New Roman" w:cs="Times New Roman"/>
          <w:sz w:val="28"/>
          <w:szCs w:val="28"/>
        </w:rPr>
      </w:pPr>
      <w:r w:rsidRPr="00EF0EC8">
        <w:rPr>
          <w:rFonts w:ascii="Times New Roman" w:hAnsi="Times New Roman" w:cs="Times New Roman"/>
          <w:sz w:val="28"/>
          <w:szCs w:val="28"/>
        </w:rPr>
        <w:t>Кримінально-правове регулювання (КПР) – це упорядкування юридичними засобами діяльності держави щодо осіб, які вчиняють кримінальне правопорушення, або інакше – врегулювання юридичними засобами суспільних кримінально-правових відносин між державою і особами, які вчиняють кримінальні правопорушення. Таке врегулювання здійснюється за допомогою механізму КПР, елементами якого є: нормативна основа, юридичні факти, кримінально-правові відносини, акти застосування кримінально-правових норм. Вочевидь, що КПР має два рівні – нормативний та правозастосовний (індивідуальний). На нормативному рівні відповідно до п.22 ч.1 ст.92 Конституції України Верховна Рада ухвалює Кримінальний кодекс, що містить кримінально-правові та інші правові норми, а на індивідуальному рівні суд, здійснюючі правосуддя, застосовує кримінально-правові норми до конкретної особи, визнаної винною у вчинені певного кримінального правопорушення. КПР діяльності держави здійснюється шляхом визначення її повноважень встановлювати вичерпний перелік і ознаки певних видів кримінальних правопорушень та кримінально-правові засоби, що підлягають застосуванню до осіб, винних у вчиненні таких кримінальних правопорушень. Цілями КПР є</w:t>
      </w:r>
      <w:r w:rsidR="002B56FD" w:rsidRPr="00EF0EC8">
        <w:rPr>
          <w:rFonts w:ascii="Times New Roman" w:hAnsi="Times New Roman" w:cs="Times New Roman"/>
          <w:sz w:val="28"/>
          <w:szCs w:val="28"/>
        </w:rPr>
        <w:t xml:space="preserve"> забезпечення</w:t>
      </w:r>
      <w:r w:rsidRPr="00EF0EC8">
        <w:rPr>
          <w:rFonts w:ascii="Times New Roman" w:hAnsi="Times New Roman" w:cs="Times New Roman"/>
          <w:sz w:val="28"/>
          <w:szCs w:val="28"/>
        </w:rPr>
        <w:t xml:space="preserve"> соціальної справедливості, виправлення (</w:t>
      </w:r>
      <w:proofErr w:type="spellStart"/>
      <w:r w:rsidRPr="00EF0EC8">
        <w:rPr>
          <w:rFonts w:ascii="Times New Roman" w:hAnsi="Times New Roman" w:cs="Times New Roman"/>
          <w:sz w:val="28"/>
          <w:szCs w:val="28"/>
        </w:rPr>
        <w:t>ресоціалізації</w:t>
      </w:r>
      <w:proofErr w:type="spellEnd"/>
      <w:r w:rsidRPr="00EF0EC8">
        <w:rPr>
          <w:rFonts w:ascii="Times New Roman" w:hAnsi="Times New Roman" w:cs="Times New Roman"/>
          <w:sz w:val="28"/>
          <w:szCs w:val="28"/>
        </w:rPr>
        <w:t>) осіб, які вчинили кримінальні правопорушення, та запобігання їх вчиненню</w:t>
      </w:r>
      <w:r w:rsidR="003A1443" w:rsidRPr="00EF0EC8">
        <w:rPr>
          <w:rFonts w:ascii="Times New Roman" w:hAnsi="Times New Roman" w:cs="Times New Roman"/>
          <w:sz w:val="28"/>
          <w:szCs w:val="28"/>
        </w:rPr>
        <w:t xml:space="preserve"> цими та іншими особами. </w:t>
      </w:r>
    </w:p>
    <w:p w:rsidR="00DE7F72" w:rsidRPr="00EF0EC8" w:rsidRDefault="00DE7F72" w:rsidP="00DE7F72">
      <w:pPr>
        <w:pStyle w:val="a3"/>
        <w:numPr>
          <w:ilvl w:val="0"/>
          <w:numId w:val="1"/>
        </w:numPr>
        <w:spacing w:after="0" w:line="360" w:lineRule="auto"/>
        <w:ind w:left="0" w:firstLine="709"/>
        <w:jc w:val="both"/>
        <w:rPr>
          <w:rFonts w:ascii="Times New Roman" w:hAnsi="Times New Roman" w:cs="Times New Roman"/>
          <w:sz w:val="28"/>
          <w:szCs w:val="28"/>
        </w:rPr>
      </w:pPr>
      <w:r w:rsidRPr="00EF0EC8">
        <w:rPr>
          <w:rFonts w:ascii="Times New Roman" w:hAnsi="Times New Roman" w:cs="Times New Roman"/>
          <w:sz w:val="28"/>
          <w:szCs w:val="28"/>
        </w:rPr>
        <w:t xml:space="preserve">Відомо, що механізм КПР складають два рівня – нормативний та індивідуальний </w:t>
      </w:r>
      <w:r w:rsidRPr="00EF0EC8">
        <w:rPr>
          <w:rFonts w:ascii="Times New Roman" w:hAnsi="Times New Roman" w:cs="Times New Roman"/>
          <w:sz w:val="28"/>
          <w:szCs w:val="28"/>
          <w:lang w:val="ru-RU"/>
        </w:rPr>
        <w:t xml:space="preserve">[ ]. </w:t>
      </w:r>
      <w:proofErr w:type="spellStart"/>
      <w:r w:rsidRPr="00EF0EC8">
        <w:rPr>
          <w:rFonts w:ascii="Times New Roman" w:hAnsi="Times New Roman" w:cs="Times New Roman"/>
          <w:sz w:val="28"/>
          <w:szCs w:val="28"/>
          <w:lang w:val="ru-RU"/>
        </w:rPr>
        <w:t>Нормативний</w:t>
      </w:r>
      <w:proofErr w:type="spellEnd"/>
      <w:r w:rsidRPr="00EF0EC8">
        <w:rPr>
          <w:rFonts w:ascii="Times New Roman" w:hAnsi="Times New Roman" w:cs="Times New Roman"/>
          <w:sz w:val="28"/>
          <w:szCs w:val="28"/>
          <w:lang w:val="ru-RU"/>
        </w:rPr>
        <w:t xml:space="preserve"> </w:t>
      </w:r>
      <w:proofErr w:type="spellStart"/>
      <w:r w:rsidRPr="00EF0EC8">
        <w:rPr>
          <w:rFonts w:ascii="Times New Roman" w:hAnsi="Times New Roman" w:cs="Times New Roman"/>
          <w:sz w:val="28"/>
          <w:szCs w:val="28"/>
          <w:lang w:val="ru-RU"/>
        </w:rPr>
        <w:t>рівень</w:t>
      </w:r>
      <w:proofErr w:type="spellEnd"/>
      <w:r w:rsidRPr="00EF0EC8">
        <w:rPr>
          <w:rFonts w:ascii="Times New Roman" w:hAnsi="Times New Roman" w:cs="Times New Roman"/>
          <w:sz w:val="28"/>
          <w:szCs w:val="28"/>
          <w:lang w:val="ru-RU"/>
        </w:rPr>
        <w:t xml:space="preserve"> КПР </w:t>
      </w:r>
      <w:proofErr w:type="spellStart"/>
      <w:r w:rsidRPr="00EF0EC8">
        <w:rPr>
          <w:rFonts w:ascii="Times New Roman" w:hAnsi="Times New Roman" w:cs="Times New Roman"/>
          <w:sz w:val="28"/>
          <w:szCs w:val="28"/>
          <w:lang w:val="ru-RU"/>
        </w:rPr>
        <w:t>або</w:t>
      </w:r>
      <w:proofErr w:type="spellEnd"/>
      <w:r w:rsidRPr="00EF0EC8">
        <w:rPr>
          <w:rFonts w:ascii="Times New Roman" w:hAnsi="Times New Roman" w:cs="Times New Roman"/>
          <w:sz w:val="28"/>
          <w:szCs w:val="28"/>
          <w:lang w:val="ru-RU"/>
        </w:rPr>
        <w:t xml:space="preserve"> </w:t>
      </w:r>
      <w:r w:rsidRPr="00EF0EC8">
        <w:rPr>
          <w:rFonts w:ascii="Times New Roman" w:hAnsi="Times New Roman" w:cs="Times New Roman"/>
          <w:sz w:val="28"/>
          <w:szCs w:val="28"/>
        </w:rPr>
        <w:t xml:space="preserve">нормативна основа механізму </w:t>
      </w:r>
      <w:r w:rsidRPr="00EF0EC8">
        <w:rPr>
          <w:rFonts w:ascii="Times New Roman" w:hAnsi="Times New Roman" w:cs="Times New Roman"/>
          <w:sz w:val="28"/>
          <w:szCs w:val="28"/>
        </w:rPr>
        <w:lastRenderedPageBreak/>
        <w:t>КПР являє собою систему кримінально-правових норм, які упорядковують (врегульовують) юридичними засобами кримінально-правові суспільні (</w:t>
      </w:r>
      <w:proofErr w:type="spellStart"/>
      <w:r w:rsidRPr="00EF0EC8">
        <w:rPr>
          <w:rFonts w:ascii="Times New Roman" w:hAnsi="Times New Roman" w:cs="Times New Roman"/>
          <w:sz w:val="28"/>
          <w:szCs w:val="28"/>
        </w:rPr>
        <w:t>деперсоніфіковані</w:t>
      </w:r>
      <w:proofErr w:type="spellEnd"/>
      <w:r w:rsidRPr="00EF0EC8">
        <w:rPr>
          <w:rFonts w:ascii="Times New Roman" w:hAnsi="Times New Roman" w:cs="Times New Roman"/>
          <w:sz w:val="28"/>
          <w:szCs w:val="28"/>
        </w:rPr>
        <w:t>) відносини в Україні, що виникають між державою та особами, які вчиняють кримінальні правопорушення. Предметом цих суспільних відносин є кримінальна відповідальність особи, яка вчинила кримінальне правопорушення, а змістом ( відповідно до частини 2 ст.19 Конституції України) -повноваження держави: 1) визначати, які суспільно-небезпечні діяння є кримінальними правопорушеннями і 2) яким засобам кримінальної відповідальності підлягають особи, які вчиняють такі кримінальні правопорушення, або підлягають звільненню від їх застосування, та обов’язок таких осіб перетерпіти обмеження їх прав і свобод, а також право вимагати від держави такого поводження з ними, яке передбачене кримінальним законом.</w:t>
      </w:r>
    </w:p>
    <w:p w:rsidR="00DE7F72" w:rsidRPr="00EF0EC8" w:rsidRDefault="00DE7F72" w:rsidP="00DE7F72">
      <w:pPr>
        <w:pStyle w:val="a3"/>
        <w:numPr>
          <w:ilvl w:val="0"/>
          <w:numId w:val="1"/>
        </w:numPr>
        <w:spacing w:after="0" w:line="360" w:lineRule="auto"/>
        <w:ind w:left="0" w:firstLine="709"/>
        <w:jc w:val="both"/>
        <w:rPr>
          <w:rFonts w:ascii="Times New Roman" w:hAnsi="Times New Roman" w:cs="Times New Roman"/>
          <w:sz w:val="28"/>
          <w:szCs w:val="28"/>
        </w:rPr>
      </w:pPr>
      <w:r w:rsidRPr="00EF0EC8">
        <w:rPr>
          <w:rFonts w:ascii="Times New Roman" w:hAnsi="Times New Roman" w:cs="Times New Roman"/>
          <w:sz w:val="28"/>
          <w:szCs w:val="28"/>
        </w:rPr>
        <w:t xml:space="preserve">Індивідуальний рівень КПР являє собою діяльність органів кримінальної юстиції України із врегулювання конкретних, індивідуалізованих кримінально-правових відносин, що виникають між державою Україною і певною особою, яка реально вчинила визначене заздалегідь державою кримінальне правопорушення. На цьому рівні кримінально-правове відношення між державою і конкретною особою  врегульовуються шляхом: 1) застосування до особи, яка вчинила кримінальне правопорушення, засобів кримінальної відповідальності (засудження, покарання, судимість) – Розділи Х-ХІІІ Загальної частини КК України ( далі – КК ), ч.2 ст.373 КПК України; 2) звільнення такої особи від кримінальної відповідальності – Розділ ІХ Загальної частини КК та окремі положення Особливої частини КК  (ч.5 ст.110-2, ч.3 ст.111, ч.2 ст.114 тощо), п.1 ч.2 ст.284 КПК України; 3) виключення кримінальної відповідальності особи, яка </w:t>
      </w:r>
      <w:proofErr w:type="spellStart"/>
      <w:r w:rsidRPr="00EF0EC8">
        <w:rPr>
          <w:rFonts w:ascii="Times New Roman" w:hAnsi="Times New Roman" w:cs="Times New Roman"/>
          <w:sz w:val="28"/>
          <w:szCs w:val="28"/>
        </w:rPr>
        <w:t>правомірно</w:t>
      </w:r>
      <w:proofErr w:type="spellEnd"/>
      <w:r w:rsidRPr="00EF0EC8">
        <w:rPr>
          <w:rFonts w:ascii="Times New Roman" w:hAnsi="Times New Roman" w:cs="Times New Roman"/>
          <w:sz w:val="28"/>
          <w:szCs w:val="28"/>
        </w:rPr>
        <w:t xml:space="preserve"> або за  відсутності ознак  кримінального правопорушення в її діянні спричинила шкоду об’єкту кримінально-правової охорони – Розділ УІІІ Загальної частини та окремі положення Загальної та Особливої частин КК (ч.2 ст.11, ч.2 ст.19, ч.3 ст.263, ч.6 ст.361, ч.2 ст.396 тощо), п.п.1, 2 ч.1 ст.284 КПК України. </w:t>
      </w:r>
    </w:p>
    <w:p w:rsidR="00DE7F72" w:rsidRPr="00EF0EC8" w:rsidRDefault="00DE7F72" w:rsidP="00DE7F72">
      <w:pPr>
        <w:pStyle w:val="a3"/>
        <w:numPr>
          <w:ilvl w:val="0"/>
          <w:numId w:val="1"/>
        </w:numPr>
        <w:spacing w:after="0" w:line="360" w:lineRule="auto"/>
        <w:ind w:left="0" w:firstLine="709"/>
        <w:jc w:val="both"/>
        <w:rPr>
          <w:rFonts w:ascii="Times New Roman" w:hAnsi="Times New Roman" w:cs="Times New Roman"/>
          <w:sz w:val="28"/>
          <w:szCs w:val="28"/>
        </w:rPr>
      </w:pPr>
      <w:r w:rsidRPr="00EF0EC8">
        <w:rPr>
          <w:rFonts w:ascii="Times New Roman" w:hAnsi="Times New Roman" w:cs="Times New Roman"/>
          <w:sz w:val="28"/>
          <w:szCs w:val="28"/>
        </w:rPr>
        <w:t>Таким чином, держава в особі Верховної Ради України ( п.22 ч.1 ст.92 Конституції України) на основі імперативного методу регулювання</w:t>
      </w:r>
      <w:r w:rsidRPr="00EF0EC8">
        <w:rPr>
          <w:rFonts w:ascii="Times New Roman" w:hAnsi="Times New Roman" w:cs="Times New Roman"/>
          <w:vanish/>
          <w:sz w:val="28"/>
          <w:szCs w:val="28"/>
        </w:rPr>
        <w:t>аРади УкраїниР</w:t>
      </w:r>
      <w:r w:rsidRPr="00EF0EC8">
        <w:rPr>
          <w:rFonts w:ascii="Times New Roman" w:hAnsi="Times New Roman" w:cs="Times New Roman"/>
          <w:sz w:val="28"/>
          <w:szCs w:val="28"/>
        </w:rPr>
        <w:t xml:space="preserve"> системою норм кримінального права  визначає на засадах верховенства права (ч.1, 2 ст.8 </w:t>
      </w:r>
      <w:r w:rsidRPr="00EF0EC8">
        <w:rPr>
          <w:rFonts w:ascii="Times New Roman" w:hAnsi="Times New Roman" w:cs="Times New Roman"/>
          <w:sz w:val="28"/>
          <w:szCs w:val="28"/>
        </w:rPr>
        <w:lastRenderedPageBreak/>
        <w:t xml:space="preserve">Конституції України) вичерпний перелік видів і ознак кримінальних правопорушень та засобів кримінальної відповідальності, яким підлягають або (на підставах, передбачених законом) не підлягають особи, які вчиняють такі правопорушення, для досягнення цілей соціальної справедливості, реабілітації (виправлення) кримінальних правопорушників і запобігання вчиненню ними та іншими особами кримінальних правопорушень( ч.2 ст.50 КК ). </w:t>
      </w:r>
    </w:p>
    <w:p w:rsidR="00DE7F72" w:rsidRPr="00EF0EC8" w:rsidRDefault="00DE7F72" w:rsidP="00DE7F72">
      <w:pPr>
        <w:pStyle w:val="a3"/>
        <w:numPr>
          <w:ilvl w:val="0"/>
          <w:numId w:val="1"/>
        </w:numPr>
        <w:spacing w:after="0" w:line="360" w:lineRule="auto"/>
        <w:ind w:left="0" w:firstLine="709"/>
        <w:jc w:val="both"/>
        <w:rPr>
          <w:rFonts w:ascii="Times New Roman" w:hAnsi="Times New Roman" w:cs="Times New Roman"/>
          <w:sz w:val="28"/>
          <w:szCs w:val="28"/>
        </w:rPr>
      </w:pPr>
      <w:r w:rsidRPr="00EF0EC8">
        <w:rPr>
          <w:rFonts w:ascii="Times New Roman" w:hAnsi="Times New Roman" w:cs="Times New Roman"/>
          <w:sz w:val="28"/>
          <w:szCs w:val="28"/>
        </w:rPr>
        <w:t xml:space="preserve">Юридичною формою вираження (закріплення) кримінально-правових норм на нормативному рівні КПР є чинний КК. Необхідно зауважити, що деякі кримінально-правові норми передбачені і в інших законах України (наприклад, в КПК і КВК України), що протирічить положенням ч.3 ст.3 КК, згідно з якими «кримінальна протиправність діяння, а також його караність та інші кримінально-правові наслідки визначаються тільки цим Кодексом». У той же час, чинний КК  як комплексний нормативно-правовий акт передбачає не тільки кримінально-правові норми, а й інші норми права, а саме: 1) норми, що регулюють поведінку людини за обставин, які виключають протиправність діяння; 2) норми, що регулюють </w:t>
      </w:r>
      <w:proofErr w:type="spellStart"/>
      <w:r w:rsidRPr="00EF0EC8">
        <w:rPr>
          <w:rFonts w:ascii="Times New Roman" w:hAnsi="Times New Roman" w:cs="Times New Roman"/>
          <w:sz w:val="28"/>
          <w:szCs w:val="28"/>
        </w:rPr>
        <w:t>посткримінальну</w:t>
      </w:r>
      <w:proofErr w:type="spellEnd"/>
      <w:r w:rsidRPr="00EF0EC8">
        <w:rPr>
          <w:rFonts w:ascii="Times New Roman" w:hAnsi="Times New Roman" w:cs="Times New Roman"/>
          <w:sz w:val="28"/>
          <w:szCs w:val="28"/>
        </w:rPr>
        <w:t xml:space="preserve"> поведінку особи; 3) норми, що регулюють повноваження  держави щодо особи, яка вчинила суспільно-небезпечне діяння у стані неосудності та  особи, яка не досягла віку, з якого настає кримінальна відповідальність; 4) норми, що регулюють повноваження держави щодо юридичних осіб, від імені чи в інтересах яких вчинені кримінальні правопорушення. І хоча примусові заходи медичного та виховного характеру, а також заходи кримінально-правового характеру щодо юридичних осіб віднесені до заходів кримінально-правового характеру, але, вочевидь, що підставою їх застосування не є вчинення кримінального правопорушення, оскільки неосудна особа, особа, яка не досягла належного віку, а також юридична особа не є суб’єктами кримінальних правопорушень.</w:t>
      </w:r>
    </w:p>
    <w:p w:rsidR="00DE7F72" w:rsidRPr="00EF0EC8" w:rsidRDefault="00DE7F72" w:rsidP="00DE7F72">
      <w:pPr>
        <w:pStyle w:val="a3"/>
        <w:numPr>
          <w:ilvl w:val="0"/>
          <w:numId w:val="1"/>
        </w:numPr>
        <w:spacing w:after="0" w:line="360" w:lineRule="auto"/>
        <w:ind w:left="0" w:firstLine="709"/>
        <w:jc w:val="both"/>
        <w:rPr>
          <w:rFonts w:ascii="Times New Roman" w:hAnsi="Times New Roman" w:cs="Times New Roman"/>
          <w:sz w:val="28"/>
          <w:szCs w:val="28"/>
        </w:rPr>
      </w:pPr>
      <w:r w:rsidRPr="00EF0EC8">
        <w:rPr>
          <w:rFonts w:ascii="Times New Roman" w:hAnsi="Times New Roman" w:cs="Times New Roman"/>
          <w:sz w:val="28"/>
          <w:szCs w:val="28"/>
        </w:rPr>
        <w:t xml:space="preserve">Реалізація  правових норм, передбачених КК, здійснюється спеціально уповноваженими органами кримінальної юстиції України, шляхом ухвалення індивідуальних актів застосування норм кримінального права. Ці органи розкривають вчинені кримінальні правопорушення, встановлюють осіб, які їх вчинили, здійснюють дізнання та досудове розслідування, підтримують державне </w:t>
      </w:r>
      <w:r w:rsidRPr="00EF0EC8">
        <w:rPr>
          <w:rFonts w:ascii="Times New Roman" w:hAnsi="Times New Roman" w:cs="Times New Roman"/>
          <w:sz w:val="28"/>
          <w:szCs w:val="28"/>
        </w:rPr>
        <w:lastRenderedPageBreak/>
        <w:t>обвинувачення в суді, а також виконують рішення суду. Вочевидь, що ключовим органом на індивідуальному рівні КПР є суд, який відповідно до цілей, передбачених у кримінально-правових нормах, здійснює правосуддя відносно особи, яка обвинувачується у вчиненні кримінального правопорушення.</w:t>
      </w:r>
    </w:p>
    <w:p w:rsidR="00DE7F72" w:rsidRPr="00EF0EC8" w:rsidRDefault="00DE7F72" w:rsidP="00DE7F72">
      <w:pPr>
        <w:spacing w:after="0" w:line="360" w:lineRule="auto"/>
        <w:ind w:firstLine="708"/>
        <w:jc w:val="both"/>
        <w:rPr>
          <w:rFonts w:ascii="Times New Roman" w:hAnsi="Times New Roman" w:cs="Times New Roman"/>
          <w:sz w:val="28"/>
          <w:szCs w:val="28"/>
        </w:rPr>
      </w:pPr>
      <w:r w:rsidRPr="00EF0EC8">
        <w:rPr>
          <w:rFonts w:ascii="Times New Roman" w:hAnsi="Times New Roman" w:cs="Times New Roman"/>
          <w:sz w:val="28"/>
          <w:szCs w:val="28"/>
        </w:rPr>
        <w:t xml:space="preserve">Таким чином, реальне врегулювання кримінально-правових суспільних відносин між державою і кримінальними правопорушниками відповідно до цілей, передбачених  кримінально-правовими нормах, відбувається в результаті численних актів застосування кримінально-правових нормами, які ухвалюють і виконують органи кримінальної юстиції при виникненні кримінально-правового конфлікту між державою та конкретною особою, яка вчинила кримінальне правопорушення. Звідси така особлива увага як до законотворчої процедури підготовки і ухвалення законів про кримінальну відповідальність та оцінки діяльності Верховної Ради України щодо внесення змін та доповнень до чинного КК України, так і  до  тлумачення ухвалених законів в частині визначення ознак певних видів кримінальних правопорушень та відмежування складів одних кримінальних правопорушень від суміжних, визначення кримінально-правових наслідків кримінального правопорушення, справедливого застосування кримінально-правових засобів та  до багатьох  інших питань, що виникають при КПР. Єдина судова практика застосування окремих кримінально-правових норм у кожному кримінальному провадженні на території України забезпечує принципи справедливості та рівності усіх перед КК. І чим більш наближеним є результат реального застосування кримінально-правових норм, ухвалених  на нормативному рівні КПР, до тих цілей, які заздалегідь були проголошені у цих нормах, тим вищою є ефективність КПР . У підсумку, ступінь </w:t>
      </w:r>
      <w:proofErr w:type="spellStart"/>
      <w:r w:rsidRPr="00EF0EC8">
        <w:rPr>
          <w:rFonts w:ascii="Times New Roman" w:hAnsi="Times New Roman" w:cs="Times New Roman"/>
          <w:sz w:val="28"/>
          <w:szCs w:val="28"/>
        </w:rPr>
        <w:t>врегульованості</w:t>
      </w:r>
      <w:proofErr w:type="spellEnd"/>
      <w:r w:rsidRPr="00EF0EC8">
        <w:rPr>
          <w:rFonts w:ascii="Times New Roman" w:hAnsi="Times New Roman" w:cs="Times New Roman"/>
          <w:sz w:val="28"/>
          <w:szCs w:val="28"/>
        </w:rPr>
        <w:t xml:space="preserve"> та ефективність врегулювання кримінально-правових суспільних відносин визначається повнотою, однаковістю і результативністю врегулювання індивідуалізованих, конкретних кримінально-правових відносин на індивідуальному рівні КПР ,а саме : чим  більш  наближеними є реальні результати реагування органів кримінальної юстиції на кожний випадок вчинення кримінального правопорушення відповідно до цілей КПР, передбачених у кримінально-правових нормах, тим більш ефективним є увесь механізм КПР в Україні.  І, навпаки, якщо великою є латентність вчинених </w:t>
      </w:r>
      <w:r w:rsidRPr="00EF0EC8">
        <w:rPr>
          <w:rFonts w:ascii="Times New Roman" w:hAnsi="Times New Roman" w:cs="Times New Roman"/>
          <w:sz w:val="28"/>
          <w:szCs w:val="28"/>
        </w:rPr>
        <w:lastRenderedPageBreak/>
        <w:t>кримінальних правопорушень; значною є кількість не- встановлених осіб, які їх вчинили; при здійсненні дізнання чи досудового розслідування виникають постійні труднощі при розмежуванні ознак складів суміжних правопорушень та  при збиранні і отриманні доказів їх вчинення; неефективним є державне обвинувачення в судах; відсутня єдність судової практики застосування тих чи інших кримінально-правових норм; реальні результати застосування таких норм різко відрізняються від цілей, передбачених кримінально-правовими нормами; явно непропорційними з досягнутими  результатами є державні витрати для забезпечення  діяльності органів кримінальної юстиції, то зазначені, а також інші показники є критеріями неефективності КПР, що потребує внесення змін як на нормативному, так і на індивідуальному його рівнях.</w:t>
      </w:r>
    </w:p>
    <w:p w:rsidR="00DE7F72" w:rsidRPr="00EF0EC8" w:rsidRDefault="00DE7F72" w:rsidP="00DE7F72">
      <w:pPr>
        <w:spacing w:after="0" w:line="360" w:lineRule="auto"/>
        <w:ind w:firstLine="708"/>
        <w:jc w:val="both"/>
        <w:rPr>
          <w:rFonts w:ascii="Times New Roman" w:hAnsi="Times New Roman" w:cs="Times New Roman"/>
          <w:sz w:val="28"/>
          <w:szCs w:val="28"/>
        </w:rPr>
      </w:pPr>
      <w:r w:rsidRPr="00EF0EC8">
        <w:rPr>
          <w:rFonts w:ascii="Times New Roman" w:hAnsi="Times New Roman" w:cs="Times New Roman"/>
          <w:sz w:val="28"/>
          <w:szCs w:val="28"/>
        </w:rPr>
        <w:t xml:space="preserve">3. Війна </w:t>
      </w:r>
      <w:proofErr w:type="spellStart"/>
      <w:r w:rsidRPr="00EF0EC8">
        <w:rPr>
          <w:rFonts w:ascii="Times New Roman" w:hAnsi="Times New Roman" w:cs="Times New Roman"/>
          <w:sz w:val="28"/>
          <w:szCs w:val="28"/>
        </w:rPr>
        <w:t>рф</w:t>
      </w:r>
      <w:proofErr w:type="spellEnd"/>
      <w:r w:rsidRPr="00EF0EC8">
        <w:rPr>
          <w:rFonts w:ascii="Times New Roman" w:hAnsi="Times New Roman" w:cs="Times New Roman"/>
          <w:sz w:val="28"/>
          <w:szCs w:val="28"/>
        </w:rPr>
        <w:t xml:space="preserve"> проти України змінила життя своєї країн и і кожної людини. Вочевидь, що ефективний захист від широкомасштабної агресії </w:t>
      </w:r>
      <w:proofErr w:type="spellStart"/>
      <w:r w:rsidRPr="00EF0EC8">
        <w:rPr>
          <w:rFonts w:ascii="Times New Roman" w:hAnsi="Times New Roman" w:cs="Times New Roman"/>
          <w:sz w:val="28"/>
          <w:szCs w:val="28"/>
        </w:rPr>
        <w:t>рф</w:t>
      </w:r>
      <w:proofErr w:type="spellEnd"/>
      <w:r w:rsidRPr="00EF0EC8">
        <w:rPr>
          <w:rFonts w:ascii="Times New Roman" w:hAnsi="Times New Roman" w:cs="Times New Roman"/>
          <w:sz w:val="28"/>
          <w:szCs w:val="28"/>
        </w:rPr>
        <w:t xml:space="preserve"> вимагає використання всіх засобів, мобілізації усіх ресурсів задля досягнення перемоги над ворогом. Поряд із героїчними зусиллями воїнів ЗСУ та інших законних воєнізованих формувань по відсічі агресії </w:t>
      </w:r>
      <w:proofErr w:type="spellStart"/>
      <w:r w:rsidRPr="00EF0EC8">
        <w:rPr>
          <w:rFonts w:ascii="Times New Roman" w:hAnsi="Times New Roman" w:cs="Times New Roman"/>
          <w:sz w:val="28"/>
          <w:szCs w:val="28"/>
        </w:rPr>
        <w:t>рф</w:t>
      </w:r>
      <w:proofErr w:type="spellEnd"/>
      <w:r w:rsidRPr="00EF0EC8">
        <w:rPr>
          <w:rFonts w:ascii="Times New Roman" w:hAnsi="Times New Roman" w:cs="Times New Roman"/>
          <w:sz w:val="28"/>
          <w:szCs w:val="28"/>
        </w:rPr>
        <w:t xml:space="preserve">, наданням гуманітарної допомоги особам, які постраждали від цієї агресії, з’явилися нові види суспільно-небезпечних діянь, які потребували криміналізації, а також нові форми прояву вже відомих кримінальних правопорушень. Так, почастішали випадки ухилення військовозобов’язаних осіб від мобілізації, пов’язаних із незаконним перетинанням кордону, а також випадки пособництва таким діям; виявилося широке коло колабораціоністської діяльності; виявилися факти поширення інформації про переміщення військ, воєнної техніки тощо; відомими стали факти зловживання </w:t>
      </w:r>
      <w:r w:rsidR="00EF0EC8" w:rsidRPr="00EF0EC8">
        <w:rPr>
          <w:rFonts w:ascii="Times New Roman" w:hAnsi="Times New Roman" w:cs="Times New Roman"/>
          <w:sz w:val="28"/>
          <w:szCs w:val="28"/>
        </w:rPr>
        <w:t xml:space="preserve">гуманітарною та іншою допомогою; непоодинокі випадки заподіяння шкоди </w:t>
      </w:r>
      <w:proofErr w:type="spellStart"/>
      <w:r w:rsidR="00EF0EC8" w:rsidRPr="00EF0EC8">
        <w:rPr>
          <w:rFonts w:ascii="Times New Roman" w:hAnsi="Times New Roman" w:cs="Times New Roman"/>
          <w:sz w:val="28"/>
          <w:szCs w:val="28"/>
        </w:rPr>
        <w:t>правоохоронювальним</w:t>
      </w:r>
      <w:proofErr w:type="spellEnd"/>
      <w:r w:rsidR="00EF0EC8" w:rsidRPr="00EF0EC8">
        <w:rPr>
          <w:rFonts w:ascii="Times New Roman" w:hAnsi="Times New Roman" w:cs="Times New Roman"/>
          <w:sz w:val="28"/>
          <w:szCs w:val="28"/>
        </w:rPr>
        <w:t xml:space="preserve"> інтересам України при відсічі збройної агресії тощо. </w:t>
      </w:r>
    </w:p>
    <w:p w:rsidR="00EF0EC8" w:rsidRPr="00EF0EC8" w:rsidRDefault="00EF0EC8" w:rsidP="00EF0EC8">
      <w:pPr>
        <w:spacing w:after="0" w:line="360" w:lineRule="auto"/>
        <w:ind w:firstLine="567"/>
        <w:jc w:val="both"/>
        <w:rPr>
          <w:rFonts w:ascii="Times New Roman" w:hAnsi="Times New Roman" w:cs="Times New Roman"/>
          <w:sz w:val="28"/>
          <w:szCs w:val="28"/>
        </w:rPr>
      </w:pPr>
      <w:r w:rsidRPr="00EF0EC8">
        <w:rPr>
          <w:rFonts w:ascii="Times New Roman" w:hAnsi="Times New Roman" w:cs="Times New Roman"/>
          <w:sz w:val="28"/>
          <w:szCs w:val="28"/>
        </w:rPr>
        <w:t xml:space="preserve">4. </w:t>
      </w:r>
      <w:r w:rsidRPr="00EF0EC8">
        <w:rPr>
          <w:rFonts w:ascii="Times New Roman" w:hAnsi="Times New Roman" w:cs="Times New Roman"/>
          <w:sz w:val="28"/>
          <w:szCs w:val="28"/>
        </w:rPr>
        <w:t xml:space="preserve">Перший виклик  - це нові видів суспільно небезпечних діянь, які з’явилися під час війни і не були передбачені чинним КК України. Мова йде у про статті 111-1, 111-2, 114-2, 436-2 тощо. Разом з тим відомі і проблеми, які виникли в практиці правозастосування цих статей  КК України і , перш за все, розмежування складів злочинів, передбачених у цих статтях, наприклад, державної зради і </w:t>
      </w:r>
      <w:proofErr w:type="spellStart"/>
      <w:r w:rsidRPr="00EF0EC8">
        <w:rPr>
          <w:rFonts w:ascii="Times New Roman" w:hAnsi="Times New Roman" w:cs="Times New Roman"/>
          <w:sz w:val="28"/>
          <w:szCs w:val="28"/>
        </w:rPr>
        <w:t>колабораційної</w:t>
      </w:r>
      <w:proofErr w:type="spellEnd"/>
      <w:r w:rsidRPr="00EF0EC8">
        <w:rPr>
          <w:rFonts w:ascii="Times New Roman" w:hAnsi="Times New Roman" w:cs="Times New Roman"/>
          <w:sz w:val="28"/>
          <w:szCs w:val="28"/>
        </w:rPr>
        <w:t xml:space="preserve"> діяльності.</w:t>
      </w:r>
    </w:p>
    <w:p w:rsidR="00EF0EC8" w:rsidRPr="00EF0EC8" w:rsidRDefault="00EF0EC8" w:rsidP="00EF0EC8">
      <w:pPr>
        <w:pStyle w:val="a3"/>
        <w:spacing w:after="0" w:line="360" w:lineRule="auto"/>
        <w:ind w:left="0" w:firstLine="567"/>
        <w:jc w:val="both"/>
        <w:rPr>
          <w:rFonts w:ascii="Times New Roman" w:hAnsi="Times New Roman" w:cs="Times New Roman"/>
          <w:sz w:val="28"/>
          <w:szCs w:val="28"/>
        </w:rPr>
      </w:pPr>
      <w:r w:rsidRPr="00EF0EC8">
        <w:rPr>
          <w:rFonts w:ascii="Times New Roman" w:hAnsi="Times New Roman" w:cs="Times New Roman"/>
          <w:sz w:val="28"/>
          <w:szCs w:val="28"/>
        </w:rPr>
        <w:lastRenderedPageBreak/>
        <w:t xml:space="preserve">В </w:t>
      </w:r>
      <w:proofErr w:type="spellStart"/>
      <w:r w:rsidRPr="00EF0EC8">
        <w:rPr>
          <w:rFonts w:ascii="Times New Roman" w:hAnsi="Times New Roman" w:cs="Times New Roman"/>
          <w:sz w:val="28"/>
          <w:szCs w:val="28"/>
        </w:rPr>
        <w:t>проєкті</w:t>
      </w:r>
      <w:proofErr w:type="spellEnd"/>
      <w:r w:rsidRPr="00EF0EC8">
        <w:rPr>
          <w:rFonts w:ascii="Times New Roman" w:hAnsi="Times New Roman" w:cs="Times New Roman"/>
          <w:sz w:val="28"/>
          <w:szCs w:val="28"/>
        </w:rPr>
        <w:t xml:space="preserve"> КК , у розділі 9.1 «Кримінальні правопорушення проти державної безпеки» проводиться чітке розмежування між  зрадою Україні (стаття 9.1.7) і </w:t>
      </w:r>
      <w:proofErr w:type="spellStart"/>
      <w:r w:rsidRPr="00EF0EC8">
        <w:rPr>
          <w:rFonts w:ascii="Times New Roman" w:hAnsi="Times New Roman" w:cs="Times New Roman"/>
          <w:sz w:val="28"/>
          <w:szCs w:val="28"/>
        </w:rPr>
        <w:t>колабораційною</w:t>
      </w:r>
      <w:proofErr w:type="spellEnd"/>
      <w:r w:rsidRPr="00EF0EC8">
        <w:rPr>
          <w:rFonts w:ascii="Times New Roman" w:hAnsi="Times New Roman" w:cs="Times New Roman"/>
          <w:sz w:val="28"/>
          <w:szCs w:val="28"/>
        </w:rPr>
        <w:t xml:space="preserve"> діяльністю (стаття 9.1.8).  Суб’єктом  зради Україні визнається громадянин України та особа без громадянства, яка постійно проживає на території України, і така зрада виражається в переході на бік ворога у двох формах: 1) вступ зазначеної особи у військове формування держави - агресора, яким визнаються збройні сили чи будь-яке інше військове формування, у тому числі іррегулярне збройне чи воєнізоване формування, кероване та фінансоване державою-агресором, або 2) надання такому формуванню допомоги у ведені бойових дій проти військових формувань України або проти добровольчих формувань, що утворені чи </w:t>
      </w:r>
      <w:proofErr w:type="spellStart"/>
      <w:r w:rsidRPr="00EF0EC8">
        <w:rPr>
          <w:rFonts w:ascii="Times New Roman" w:hAnsi="Times New Roman" w:cs="Times New Roman"/>
          <w:sz w:val="28"/>
          <w:szCs w:val="28"/>
        </w:rPr>
        <w:t>самоорганізувалися</w:t>
      </w:r>
      <w:proofErr w:type="spellEnd"/>
      <w:r w:rsidRPr="00EF0EC8">
        <w:rPr>
          <w:rFonts w:ascii="Times New Roman" w:hAnsi="Times New Roman" w:cs="Times New Roman"/>
          <w:sz w:val="28"/>
          <w:szCs w:val="28"/>
        </w:rPr>
        <w:t xml:space="preserve"> для захисту України. В свою чергу, суб’єкт </w:t>
      </w:r>
      <w:proofErr w:type="spellStart"/>
      <w:r w:rsidRPr="00EF0EC8">
        <w:rPr>
          <w:rFonts w:ascii="Times New Roman" w:hAnsi="Times New Roman" w:cs="Times New Roman"/>
          <w:sz w:val="28"/>
          <w:szCs w:val="28"/>
        </w:rPr>
        <w:t>колабораційної</w:t>
      </w:r>
      <w:proofErr w:type="spellEnd"/>
      <w:r w:rsidRPr="00EF0EC8">
        <w:rPr>
          <w:rFonts w:ascii="Times New Roman" w:hAnsi="Times New Roman" w:cs="Times New Roman"/>
          <w:sz w:val="28"/>
          <w:szCs w:val="28"/>
        </w:rPr>
        <w:t xml:space="preserve"> діяльності хоча і співпадає із суб’єктом зради Україні, але його діяльність виражається в тому , що на тимчасово окупованій території України такий суб’єкт підтримує державу-агресора, добровільно  співпрацюючи з нею, в одній із десяти форм, які передбачені в статті 9.1.8. і не пов’язані з переходом на бік ворога. В той же час практика показала, що дії, подібні до видів </w:t>
      </w:r>
      <w:proofErr w:type="spellStart"/>
      <w:r w:rsidRPr="00EF0EC8">
        <w:rPr>
          <w:rFonts w:ascii="Times New Roman" w:hAnsi="Times New Roman" w:cs="Times New Roman"/>
          <w:sz w:val="28"/>
          <w:szCs w:val="28"/>
        </w:rPr>
        <w:t>колабораційної</w:t>
      </w:r>
      <w:proofErr w:type="spellEnd"/>
      <w:r w:rsidRPr="00EF0EC8">
        <w:rPr>
          <w:rFonts w:ascii="Times New Roman" w:hAnsi="Times New Roman" w:cs="Times New Roman"/>
          <w:sz w:val="28"/>
          <w:szCs w:val="28"/>
        </w:rPr>
        <w:t xml:space="preserve"> діяльності, на тимчасово окупованій території України вчиняють іноземці, у  тому числі громадяни держави-агресора, і  апатриди, які не проживають постійно на території України, що викликає труднощі при кваліфікації їх дій. З метою їх подолання в </w:t>
      </w:r>
      <w:proofErr w:type="spellStart"/>
      <w:r w:rsidRPr="00EF0EC8">
        <w:rPr>
          <w:rFonts w:ascii="Times New Roman" w:hAnsi="Times New Roman" w:cs="Times New Roman"/>
          <w:sz w:val="28"/>
          <w:szCs w:val="28"/>
        </w:rPr>
        <w:t>проєкті</w:t>
      </w:r>
      <w:proofErr w:type="spellEnd"/>
      <w:r w:rsidRPr="00EF0EC8">
        <w:rPr>
          <w:rFonts w:ascii="Times New Roman" w:hAnsi="Times New Roman" w:cs="Times New Roman"/>
          <w:sz w:val="28"/>
          <w:szCs w:val="28"/>
        </w:rPr>
        <w:t xml:space="preserve"> КК передбачена стаття 9.1.9 «Окупаційна діяльність», в якій наведено перелік такої діяльності, що тягне за собою кримінальну відповідальність. До злочинів проти державної безпеки віднесено і такий злочин, як «</w:t>
      </w:r>
      <w:proofErr w:type="spellStart"/>
      <w:r w:rsidRPr="00EF0EC8">
        <w:rPr>
          <w:rFonts w:ascii="Times New Roman" w:hAnsi="Times New Roman" w:cs="Times New Roman"/>
          <w:sz w:val="28"/>
          <w:szCs w:val="28"/>
        </w:rPr>
        <w:t>Виправдовування</w:t>
      </w:r>
      <w:proofErr w:type="spellEnd"/>
      <w:r w:rsidRPr="00EF0EC8">
        <w:rPr>
          <w:rFonts w:ascii="Times New Roman" w:hAnsi="Times New Roman" w:cs="Times New Roman"/>
          <w:sz w:val="28"/>
          <w:szCs w:val="28"/>
        </w:rPr>
        <w:t xml:space="preserve"> збройної  агресії проти України» (стаття 9.1.13), в якій визначені сім видів такого виправдування.</w:t>
      </w:r>
    </w:p>
    <w:p w:rsidR="00EF0EC8" w:rsidRPr="00EF0EC8" w:rsidRDefault="00EF0EC8" w:rsidP="00EF0EC8">
      <w:pPr>
        <w:spacing w:after="0" w:line="360" w:lineRule="auto"/>
        <w:ind w:firstLine="709"/>
        <w:jc w:val="both"/>
        <w:rPr>
          <w:rFonts w:ascii="Times New Roman" w:hAnsi="Times New Roman" w:cs="Times New Roman"/>
          <w:sz w:val="28"/>
          <w:szCs w:val="28"/>
        </w:rPr>
      </w:pPr>
      <w:r w:rsidRPr="00EF0EC8">
        <w:rPr>
          <w:rFonts w:ascii="Times New Roman" w:hAnsi="Times New Roman" w:cs="Times New Roman"/>
          <w:sz w:val="28"/>
          <w:szCs w:val="28"/>
        </w:rPr>
        <w:t>1. Під час дії воєнного стану були ухвалені закони, які передбачають нові обставини, що виключають протиправність діяння: 1) Закон України «Про забезпечення участі цивільних осіб у захисті України» від 03 березня 2022 року. 2) Закон України «Про внесення змін до Кримінального кодексу України та інших законодавчих актів України щодо визначення обставин, що виключають кримінальну протиправність діяння, та забезпечують бойовий імунітет в умовах дії воєнного стану» від 15 березня 2022 року.</w:t>
      </w:r>
    </w:p>
    <w:p w:rsidR="00EF0EC8" w:rsidRPr="00EF0EC8" w:rsidRDefault="00EF0EC8" w:rsidP="00EF0EC8">
      <w:pPr>
        <w:spacing w:after="0" w:line="360" w:lineRule="auto"/>
        <w:ind w:firstLine="709"/>
        <w:jc w:val="both"/>
        <w:rPr>
          <w:rFonts w:ascii="Times New Roman" w:hAnsi="Times New Roman" w:cs="Times New Roman"/>
          <w:sz w:val="28"/>
          <w:szCs w:val="28"/>
        </w:rPr>
      </w:pPr>
      <w:r w:rsidRPr="00EF0EC8">
        <w:rPr>
          <w:rFonts w:ascii="Times New Roman" w:hAnsi="Times New Roman" w:cs="Times New Roman"/>
          <w:sz w:val="28"/>
          <w:szCs w:val="28"/>
        </w:rPr>
        <w:lastRenderedPageBreak/>
        <w:t xml:space="preserve">2. КК  доповнений ст.43-1 «Виконання обов’язку щодо захисту Вітчизни, незалежності та територіальної цілісності України», а по суті це є суб’єктивним правом особи. </w:t>
      </w:r>
      <w:r w:rsidRPr="00EF0EC8">
        <w:rPr>
          <w:rFonts w:ascii="Times New Roman" w:hAnsi="Times New Roman" w:cs="Times New Roman"/>
          <w:b/>
          <w:bCs/>
          <w:sz w:val="28"/>
          <w:szCs w:val="28"/>
        </w:rPr>
        <w:t xml:space="preserve"> Підстава</w:t>
      </w:r>
      <w:r w:rsidRPr="00EF0EC8">
        <w:rPr>
          <w:rFonts w:ascii="Times New Roman" w:hAnsi="Times New Roman" w:cs="Times New Roman"/>
          <w:sz w:val="28"/>
          <w:szCs w:val="28"/>
        </w:rPr>
        <w:t xml:space="preserve"> використання  цього  права</w:t>
      </w:r>
      <w:r w:rsidRPr="00EF0EC8">
        <w:rPr>
          <w:rFonts w:ascii="Times New Roman" w:hAnsi="Times New Roman" w:cs="Times New Roman"/>
          <w:b/>
          <w:bCs/>
          <w:sz w:val="28"/>
          <w:szCs w:val="28"/>
        </w:rPr>
        <w:t xml:space="preserve"> </w:t>
      </w:r>
      <w:r w:rsidRPr="00EF0EC8">
        <w:rPr>
          <w:rFonts w:ascii="Times New Roman" w:hAnsi="Times New Roman" w:cs="Times New Roman"/>
          <w:sz w:val="28"/>
          <w:szCs w:val="28"/>
        </w:rPr>
        <w:t xml:space="preserve">– збройна агресія </w:t>
      </w:r>
      <w:proofErr w:type="spellStart"/>
      <w:r w:rsidRPr="00EF0EC8">
        <w:rPr>
          <w:rFonts w:ascii="Times New Roman" w:hAnsi="Times New Roman" w:cs="Times New Roman"/>
          <w:sz w:val="28"/>
          <w:szCs w:val="28"/>
        </w:rPr>
        <w:t>рф</w:t>
      </w:r>
      <w:proofErr w:type="spellEnd"/>
      <w:r w:rsidRPr="00EF0EC8">
        <w:rPr>
          <w:rFonts w:ascii="Times New Roman" w:hAnsi="Times New Roman" w:cs="Times New Roman"/>
          <w:sz w:val="28"/>
          <w:szCs w:val="28"/>
        </w:rPr>
        <w:t xml:space="preserve"> або агресія іншої країни. </w:t>
      </w:r>
      <w:r w:rsidRPr="00EF0EC8">
        <w:rPr>
          <w:rFonts w:ascii="Times New Roman" w:hAnsi="Times New Roman" w:cs="Times New Roman"/>
          <w:b/>
          <w:bCs/>
          <w:sz w:val="28"/>
          <w:szCs w:val="28"/>
        </w:rPr>
        <w:t>Ознаки</w:t>
      </w:r>
      <w:r w:rsidRPr="00EF0EC8">
        <w:rPr>
          <w:rFonts w:ascii="Times New Roman" w:hAnsi="Times New Roman" w:cs="Times New Roman"/>
          <w:sz w:val="28"/>
          <w:szCs w:val="28"/>
        </w:rPr>
        <w:t xml:space="preserve"> поведінки особи з використання зазначеного права: 1) суб’єкт – не комбатант, 2) об’єкт – життя та здоров’я особи, що здійснює агресію, майно або </w:t>
      </w:r>
      <w:proofErr w:type="spellStart"/>
      <w:r w:rsidRPr="00EF0EC8">
        <w:rPr>
          <w:rFonts w:ascii="Times New Roman" w:hAnsi="Times New Roman" w:cs="Times New Roman"/>
          <w:sz w:val="28"/>
          <w:szCs w:val="28"/>
        </w:rPr>
        <w:t>правоохоронювані</w:t>
      </w:r>
      <w:proofErr w:type="spellEnd"/>
      <w:r w:rsidRPr="00EF0EC8">
        <w:rPr>
          <w:rFonts w:ascii="Times New Roman" w:hAnsi="Times New Roman" w:cs="Times New Roman"/>
          <w:sz w:val="28"/>
          <w:szCs w:val="28"/>
        </w:rPr>
        <w:t xml:space="preserve"> інтереси,3) об’єктивна сторона: суспільно корисне діяння не комбатанта, яке заподіяло смерть або тілесні ушкодження особі, яка здійснює агресію проти України, або шкоду </w:t>
      </w:r>
      <w:proofErr w:type="spellStart"/>
      <w:r w:rsidRPr="00EF0EC8">
        <w:rPr>
          <w:rFonts w:ascii="Times New Roman" w:hAnsi="Times New Roman" w:cs="Times New Roman"/>
          <w:sz w:val="28"/>
          <w:szCs w:val="28"/>
        </w:rPr>
        <w:t>правоохоронюваним</w:t>
      </w:r>
      <w:proofErr w:type="spellEnd"/>
      <w:r w:rsidRPr="00EF0EC8">
        <w:rPr>
          <w:rFonts w:ascii="Times New Roman" w:hAnsi="Times New Roman" w:cs="Times New Roman"/>
          <w:sz w:val="28"/>
          <w:szCs w:val="28"/>
        </w:rPr>
        <w:t xml:space="preserve"> інтересам  в умовах воєнного стану або в період збройного конфлікту; 4) мета – відсіч та стримування збройної агресії </w:t>
      </w:r>
      <w:proofErr w:type="spellStart"/>
      <w:r w:rsidRPr="00EF0EC8">
        <w:rPr>
          <w:rFonts w:ascii="Times New Roman" w:hAnsi="Times New Roman" w:cs="Times New Roman"/>
          <w:sz w:val="28"/>
          <w:szCs w:val="28"/>
        </w:rPr>
        <w:t>рф</w:t>
      </w:r>
      <w:proofErr w:type="spellEnd"/>
      <w:r w:rsidRPr="00EF0EC8">
        <w:rPr>
          <w:rFonts w:ascii="Times New Roman" w:hAnsi="Times New Roman" w:cs="Times New Roman"/>
          <w:sz w:val="28"/>
          <w:szCs w:val="28"/>
        </w:rPr>
        <w:t xml:space="preserve"> або збройної агресії іншої країни. </w:t>
      </w:r>
    </w:p>
    <w:p w:rsidR="00EF0EC8" w:rsidRPr="00EF0EC8" w:rsidRDefault="00EF0EC8" w:rsidP="00EF0EC8">
      <w:pPr>
        <w:spacing w:after="0" w:line="360" w:lineRule="auto"/>
        <w:jc w:val="both"/>
        <w:rPr>
          <w:rFonts w:ascii="Times New Roman" w:hAnsi="Times New Roman" w:cs="Times New Roman"/>
          <w:sz w:val="28"/>
          <w:szCs w:val="28"/>
        </w:rPr>
      </w:pPr>
      <w:r w:rsidRPr="00EF0EC8">
        <w:rPr>
          <w:rFonts w:ascii="Times New Roman" w:hAnsi="Times New Roman" w:cs="Times New Roman"/>
          <w:sz w:val="28"/>
          <w:szCs w:val="28"/>
        </w:rPr>
        <w:t xml:space="preserve"> Слід погодитися з тим, що межі заподіяння шкоди особою при використанні зазначеного суб’єктивного права особи законом  не встановлені, а це означає ,що правомірним є заподіяння смерті чи тілесних ушкоджень будь-якій кількості агресорів, знищення чи пошкодження будь-якої кількості майна агресора (</w:t>
      </w:r>
      <w:proofErr w:type="spellStart"/>
      <w:r w:rsidRPr="00EF0EC8">
        <w:rPr>
          <w:rFonts w:ascii="Times New Roman" w:hAnsi="Times New Roman" w:cs="Times New Roman"/>
          <w:sz w:val="28"/>
          <w:szCs w:val="28"/>
        </w:rPr>
        <w:t>Ю.Пономаренко</w:t>
      </w:r>
      <w:proofErr w:type="spellEnd"/>
      <w:r w:rsidRPr="00EF0EC8">
        <w:rPr>
          <w:rFonts w:ascii="Times New Roman" w:hAnsi="Times New Roman" w:cs="Times New Roman"/>
          <w:sz w:val="28"/>
          <w:szCs w:val="28"/>
        </w:rPr>
        <w:t xml:space="preserve">),  а також  спричинення  шкоди </w:t>
      </w:r>
      <w:proofErr w:type="spellStart"/>
      <w:r w:rsidRPr="00EF0EC8">
        <w:rPr>
          <w:rFonts w:ascii="Times New Roman" w:hAnsi="Times New Roman" w:cs="Times New Roman"/>
          <w:sz w:val="28"/>
          <w:szCs w:val="28"/>
        </w:rPr>
        <w:t>правоохоронюваним</w:t>
      </w:r>
      <w:proofErr w:type="spellEnd"/>
      <w:r w:rsidRPr="00EF0EC8">
        <w:rPr>
          <w:rFonts w:ascii="Times New Roman" w:hAnsi="Times New Roman" w:cs="Times New Roman"/>
          <w:sz w:val="28"/>
          <w:szCs w:val="28"/>
        </w:rPr>
        <w:t xml:space="preserve"> інтересам.</w:t>
      </w:r>
    </w:p>
    <w:p w:rsidR="00EF0EC8" w:rsidRPr="00EF0EC8" w:rsidRDefault="00EF0EC8" w:rsidP="00EF0EC8">
      <w:pPr>
        <w:spacing w:after="0" w:line="360" w:lineRule="auto"/>
        <w:ind w:firstLine="709"/>
        <w:jc w:val="both"/>
        <w:rPr>
          <w:rFonts w:ascii="Times New Roman" w:hAnsi="Times New Roman" w:cs="Times New Roman"/>
          <w:sz w:val="28"/>
          <w:szCs w:val="28"/>
        </w:rPr>
      </w:pPr>
      <w:r w:rsidRPr="00EF0EC8">
        <w:rPr>
          <w:rFonts w:ascii="Times New Roman" w:hAnsi="Times New Roman" w:cs="Times New Roman"/>
          <w:sz w:val="28"/>
          <w:szCs w:val="28"/>
        </w:rPr>
        <w:t xml:space="preserve">3. Розділ 2 «Прикінцеві та перехідні  положення» чинного КК доповнений  пунктом 22 наступного змісту: «Цивільні особи не несуть кримінальної відповідальності за застосування вогнепальної зброї проти осіб, які здійснюють збройну агресію проти України, якщо така зброя застосована відповідно до вимог Закону України "Про забезпечення участі цивільних осіб у захисті </w:t>
      </w:r>
      <w:proofErr w:type="spellStart"/>
      <w:r w:rsidRPr="00EF0EC8">
        <w:rPr>
          <w:rFonts w:ascii="Times New Roman" w:hAnsi="Times New Roman" w:cs="Times New Roman"/>
          <w:sz w:val="28"/>
          <w:szCs w:val="28"/>
        </w:rPr>
        <w:t>України".Дія</w:t>
      </w:r>
      <w:proofErr w:type="spellEnd"/>
      <w:r w:rsidRPr="00EF0EC8">
        <w:rPr>
          <w:rFonts w:ascii="Times New Roman" w:hAnsi="Times New Roman" w:cs="Times New Roman"/>
          <w:sz w:val="28"/>
          <w:szCs w:val="28"/>
        </w:rPr>
        <w:t xml:space="preserve"> цього закону поширюється на усіх осіб, які отримали вогнепальну зброю і боєприпаси до неї відповідно до порядку та вимог, установлених МВС України, незалежно від дати їх видачі, та застосовується протягом дії воєнного стану і 10 днів після його припинення або скасування (п.2  Прикінцевих та перехідних положень закону). </w:t>
      </w:r>
    </w:p>
    <w:p w:rsidR="00EF0EC8" w:rsidRPr="00EF0EC8" w:rsidRDefault="00EF0EC8" w:rsidP="00EF0EC8">
      <w:pPr>
        <w:spacing w:after="0" w:line="360" w:lineRule="auto"/>
        <w:ind w:firstLine="709"/>
        <w:jc w:val="both"/>
        <w:rPr>
          <w:rFonts w:ascii="Times New Roman" w:hAnsi="Times New Roman" w:cs="Times New Roman"/>
          <w:sz w:val="28"/>
          <w:szCs w:val="28"/>
        </w:rPr>
      </w:pPr>
      <w:r w:rsidRPr="00EF0EC8">
        <w:rPr>
          <w:rFonts w:ascii="Times New Roman" w:hAnsi="Times New Roman" w:cs="Times New Roman"/>
          <w:sz w:val="28"/>
          <w:szCs w:val="28"/>
        </w:rPr>
        <w:t xml:space="preserve"> Згідно Порядку застосування цивільними особами вогнепальної зброї під час участі у відсічі та стримування збройної агресії Російської Федерації та/або інших держав проти України у період дії воєнного стану, затвердженого Постановою Кабінету Міністрів України від 15 квітня 2022 р. №448, цивільні особи мають право застосувати вогнепальну зброю для(</w:t>
      </w:r>
      <w:r w:rsidRPr="00EF0EC8">
        <w:rPr>
          <w:rFonts w:ascii="Times New Roman" w:hAnsi="Times New Roman" w:cs="Times New Roman"/>
          <w:b/>
          <w:bCs/>
          <w:sz w:val="28"/>
          <w:szCs w:val="28"/>
        </w:rPr>
        <w:t>підстави застосування</w:t>
      </w:r>
      <w:r w:rsidRPr="00EF0EC8">
        <w:rPr>
          <w:rFonts w:ascii="Times New Roman" w:hAnsi="Times New Roman" w:cs="Times New Roman"/>
          <w:sz w:val="28"/>
          <w:szCs w:val="28"/>
        </w:rPr>
        <w:t xml:space="preserve">): 1) відбиття нападу або запобігання загрози нападу на військові  та/або цивільні об’єкти, що </w:t>
      </w:r>
      <w:r w:rsidRPr="00EF0EC8">
        <w:rPr>
          <w:rFonts w:ascii="Times New Roman" w:hAnsi="Times New Roman" w:cs="Times New Roman"/>
          <w:sz w:val="28"/>
          <w:szCs w:val="28"/>
        </w:rPr>
        <w:lastRenderedPageBreak/>
        <w:t>охороняються; 2) запобігання вчиненню та/або припинення протиправних дій чи діяльності осіб, причетних до збройної агресії; 3) звільнення захоплених військових та/або цивільних об’єктів або запобігання (перешкоджання) такому захопленню; 4) знищення зброї, бойової техніки, транспортних або технічних засобів, які перебувають у користуванні осіб, причет них до збройної агресії; 5) захисту цивільних осіб, військових та/або цивільних об’єктів від нападу; 6) запобігання та/або припинення діяльності, затримання, роззброєння або знешкодження осіб, причетних до збройної агресії; 7) припинення дій осіб, які вчинили або вчиняють правопорушення; 8) припинення дій осіб, які перешкоджають виконання законних вимог осіб, залучених до виконання завдань, пов’язаних із запровадженням і здійсненням заходів правового режиму воєнного стану; 9) відбиття нападу на осіб, залучених до виконання завдань, пов’язаних із запровадженням і здійсненням заходів правового режиму воєнного стану, або інших осіб, у разі виникнення загрози їх життю чи здоров’ю (  п. 4 Порядку).</w:t>
      </w:r>
    </w:p>
    <w:p w:rsidR="00EF0EC8" w:rsidRPr="00EF0EC8" w:rsidRDefault="00EF0EC8" w:rsidP="00EF0EC8">
      <w:pPr>
        <w:spacing w:after="0" w:line="360" w:lineRule="auto"/>
        <w:ind w:firstLine="709"/>
        <w:jc w:val="both"/>
        <w:rPr>
          <w:rFonts w:ascii="Times New Roman" w:hAnsi="Times New Roman" w:cs="Times New Roman"/>
          <w:sz w:val="28"/>
          <w:szCs w:val="28"/>
        </w:rPr>
      </w:pPr>
      <w:r w:rsidRPr="00EF0EC8">
        <w:rPr>
          <w:rFonts w:ascii="Times New Roman" w:hAnsi="Times New Roman" w:cs="Times New Roman"/>
          <w:sz w:val="28"/>
          <w:szCs w:val="28"/>
        </w:rPr>
        <w:t xml:space="preserve">4. Стаття 1 Закону України « Про оборону України» доповнена абз.3, в якому визначається </w:t>
      </w:r>
      <w:r w:rsidRPr="00EF0EC8">
        <w:rPr>
          <w:rFonts w:ascii="Times New Roman" w:hAnsi="Times New Roman" w:cs="Times New Roman"/>
          <w:b/>
          <w:bCs/>
          <w:sz w:val="28"/>
          <w:szCs w:val="28"/>
        </w:rPr>
        <w:t xml:space="preserve">бойовий імунітет </w:t>
      </w:r>
      <w:r w:rsidRPr="00EF0EC8">
        <w:rPr>
          <w:rFonts w:ascii="Times New Roman" w:hAnsi="Times New Roman" w:cs="Times New Roman"/>
          <w:sz w:val="28"/>
          <w:szCs w:val="28"/>
        </w:rPr>
        <w:t xml:space="preserve">як підстава звільнення , а по суті - виключення кримінальної відповідальності певної особи за шкоду, заподіяну в умовах бойового імунітету. Аналіз зазначених положень закону дає можливість  сформулювати підставу та ознаки правомірного діяння, що вчиняється  в умовах бойового імунітету. </w:t>
      </w:r>
      <w:r w:rsidRPr="00EF0EC8">
        <w:rPr>
          <w:rFonts w:ascii="Times New Roman" w:hAnsi="Times New Roman" w:cs="Times New Roman"/>
          <w:b/>
          <w:bCs/>
          <w:sz w:val="28"/>
          <w:szCs w:val="28"/>
        </w:rPr>
        <w:t>Підставою</w:t>
      </w:r>
      <w:r w:rsidRPr="00EF0EC8">
        <w:rPr>
          <w:rFonts w:ascii="Times New Roman" w:hAnsi="Times New Roman" w:cs="Times New Roman"/>
          <w:sz w:val="28"/>
          <w:szCs w:val="28"/>
        </w:rPr>
        <w:t xml:space="preserve"> є</w:t>
      </w:r>
      <w:r w:rsidRPr="00EF0EC8">
        <w:rPr>
          <w:rFonts w:ascii="Times New Roman" w:hAnsi="Times New Roman" w:cs="Times New Roman"/>
          <w:b/>
          <w:bCs/>
          <w:sz w:val="28"/>
          <w:szCs w:val="28"/>
        </w:rPr>
        <w:t xml:space="preserve"> </w:t>
      </w:r>
      <w:r w:rsidRPr="00EF0EC8">
        <w:rPr>
          <w:rFonts w:ascii="Times New Roman" w:hAnsi="Times New Roman" w:cs="Times New Roman"/>
          <w:sz w:val="28"/>
          <w:szCs w:val="28"/>
        </w:rPr>
        <w:t xml:space="preserve">збройна агресія проти України або збройний конфлікт на території України. </w:t>
      </w:r>
      <w:r w:rsidRPr="00EF0EC8">
        <w:rPr>
          <w:rFonts w:ascii="Times New Roman" w:hAnsi="Times New Roman" w:cs="Times New Roman"/>
          <w:b/>
          <w:bCs/>
          <w:sz w:val="28"/>
          <w:szCs w:val="28"/>
        </w:rPr>
        <w:t>Ознаки</w:t>
      </w:r>
      <w:r w:rsidRPr="00EF0EC8">
        <w:rPr>
          <w:rFonts w:ascii="Times New Roman" w:hAnsi="Times New Roman" w:cs="Times New Roman"/>
          <w:sz w:val="28"/>
          <w:szCs w:val="28"/>
        </w:rPr>
        <w:t xml:space="preserve"> діяння: 1) суб’єкт –  представник військового командування, військовослужбовець, доброволець Сил територіальної оборони ЗСУ, працівник правоохоронного органу, який відповідно до своїх повноважень бере участь в обороні України, особа, визначена Законом України «Про забезпечення участі цивільних осіб у захисті України»; 2) об’єкт – життя та здоров’я особового складу, бойова техніка та інше військове майно, інші </w:t>
      </w:r>
      <w:proofErr w:type="spellStart"/>
      <w:r w:rsidRPr="00EF0EC8">
        <w:rPr>
          <w:rFonts w:ascii="Times New Roman" w:hAnsi="Times New Roman" w:cs="Times New Roman"/>
          <w:sz w:val="28"/>
          <w:szCs w:val="28"/>
        </w:rPr>
        <w:t>правоохоронювані</w:t>
      </w:r>
      <w:proofErr w:type="spellEnd"/>
      <w:r w:rsidRPr="00EF0EC8">
        <w:rPr>
          <w:rFonts w:ascii="Times New Roman" w:hAnsi="Times New Roman" w:cs="Times New Roman"/>
          <w:sz w:val="28"/>
          <w:szCs w:val="28"/>
        </w:rPr>
        <w:t xml:space="preserve"> інтереси особи, суспільства, держави; 3) об’єктивна сторона – планування, застосування зброї чи іншої сили або виконання іншого завдання з оборони України із застосуванням будь-яких видів зброї (озброєння) чи іншої сили  під час відсічі збройної агресії проти України або ліквідації (нейтралізації) збройного конфлікту , що  спричинило втрату особового складу, бойової техніки та </w:t>
      </w:r>
      <w:r w:rsidRPr="00EF0EC8">
        <w:rPr>
          <w:rFonts w:ascii="Times New Roman" w:hAnsi="Times New Roman" w:cs="Times New Roman"/>
          <w:sz w:val="28"/>
          <w:szCs w:val="28"/>
        </w:rPr>
        <w:lastRenderedPageBreak/>
        <w:t xml:space="preserve">іншого  військового майна, або шкоду іншим </w:t>
      </w:r>
      <w:proofErr w:type="spellStart"/>
      <w:r w:rsidRPr="00EF0EC8">
        <w:rPr>
          <w:rFonts w:ascii="Times New Roman" w:hAnsi="Times New Roman" w:cs="Times New Roman"/>
          <w:sz w:val="28"/>
          <w:szCs w:val="28"/>
        </w:rPr>
        <w:t>правоохоронюваним</w:t>
      </w:r>
      <w:proofErr w:type="spellEnd"/>
      <w:r w:rsidRPr="00EF0EC8">
        <w:rPr>
          <w:rFonts w:ascii="Times New Roman" w:hAnsi="Times New Roman" w:cs="Times New Roman"/>
          <w:sz w:val="28"/>
          <w:szCs w:val="28"/>
        </w:rPr>
        <w:t xml:space="preserve"> інтересам, 4) суб’єктивний контроль: а) неможливість передбачення зазначених наслідків з урахуванням розумної обачливості при плануванні чи виконанні дій (завдань) або б) спричинені наслідки охоплюються виправданим ризиком,  тобто 1) поставлену мету не можна було досягти в даній обстановці діянням, не поєднаним з ризиком, і 2) особа обґрунтовано розраховувала, що вжиті нею заходи є достатніми для відвернення шкоди </w:t>
      </w:r>
      <w:proofErr w:type="spellStart"/>
      <w:r w:rsidRPr="00EF0EC8">
        <w:rPr>
          <w:rFonts w:ascii="Times New Roman" w:hAnsi="Times New Roman" w:cs="Times New Roman"/>
          <w:sz w:val="28"/>
          <w:szCs w:val="28"/>
        </w:rPr>
        <w:t>правоохоронюванним</w:t>
      </w:r>
      <w:proofErr w:type="spellEnd"/>
      <w:r w:rsidRPr="00EF0EC8">
        <w:rPr>
          <w:rFonts w:ascii="Times New Roman" w:hAnsi="Times New Roman" w:cs="Times New Roman"/>
          <w:sz w:val="28"/>
          <w:szCs w:val="28"/>
        </w:rPr>
        <w:t xml:space="preserve"> інтересам.</w:t>
      </w:r>
    </w:p>
    <w:p w:rsidR="00EF0EC8" w:rsidRPr="00EF0EC8" w:rsidRDefault="00EF0EC8" w:rsidP="00EF0EC8">
      <w:pPr>
        <w:spacing w:after="0" w:line="360" w:lineRule="auto"/>
        <w:ind w:firstLine="709"/>
        <w:jc w:val="both"/>
        <w:rPr>
          <w:rFonts w:ascii="Times New Roman" w:hAnsi="Times New Roman" w:cs="Times New Roman"/>
          <w:sz w:val="28"/>
          <w:szCs w:val="28"/>
        </w:rPr>
      </w:pPr>
      <w:r w:rsidRPr="00EF0EC8">
        <w:rPr>
          <w:rFonts w:ascii="Times New Roman" w:hAnsi="Times New Roman" w:cs="Times New Roman"/>
          <w:sz w:val="28"/>
          <w:szCs w:val="28"/>
        </w:rPr>
        <w:t xml:space="preserve">Закон передбачає лише одне обмеження заподіяння шкоди в умовах бойового імунітету , а саме: забороняється порушувати закони і звичаї війни або застосовувати збройну силу, визначені міжнародними договорами, згода на обов’язковість яких надана Верховною Радою України.  Вчинення таких дій тягне за собою кримінальну відповідальність на загальних підставах. </w:t>
      </w:r>
    </w:p>
    <w:p w:rsidR="00EF0EC8" w:rsidRDefault="00EF0EC8" w:rsidP="00EF0EC8">
      <w:pPr>
        <w:spacing w:after="0" w:line="360" w:lineRule="auto"/>
        <w:ind w:firstLine="709"/>
        <w:jc w:val="both"/>
        <w:rPr>
          <w:rFonts w:ascii="Times New Roman" w:hAnsi="Times New Roman" w:cs="Times New Roman"/>
          <w:sz w:val="28"/>
          <w:szCs w:val="28"/>
        </w:rPr>
      </w:pPr>
      <w:r w:rsidRPr="00EF0EC8">
        <w:rPr>
          <w:rFonts w:ascii="Times New Roman" w:hAnsi="Times New Roman" w:cs="Times New Roman"/>
          <w:sz w:val="28"/>
          <w:szCs w:val="28"/>
        </w:rPr>
        <w:t xml:space="preserve">5. </w:t>
      </w:r>
      <w:r w:rsidRPr="00EF0EC8">
        <w:rPr>
          <w:rFonts w:ascii="Times New Roman" w:hAnsi="Times New Roman" w:cs="Times New Roman"/>
          <w:b/>
          <w:bCs/>
          <w:sz w:val="28"/>
          <w:szCs w:val="28"/>
        </w:rPr>
        <w:t>Здійснення публічною службовою особою владних повноважень для відсічі збройної агресії проти України</w:t>
      </w:r>
      <w:r w:rsidRPr="00EF0EC8">
        <w:rPr>
          <w:rFonts w:ascii="Times New Roman" w:hAnsi="Times New Roman" w:cs="Times New Roman"/>
          <w:sz w:val="28"/>
          <w:szCs w:val="28"/>
        </w:rPr>
        <w:t xml:space="preserve"> як обставину, що виключає кримінальну відповідальність, передбачено у ч. 3 ст. 9 ЗУ «Про правовий</w:t>
      </w:r>
      <w:r w:rsidRPr="00EF0EC8">
        <w:rPr>
          <w:rFonts w:ascii="Times New Roman" w:hAnsi="Times New Roman" w:cs="Times New Roman"/>
          <w:b/>
          <w:bCs/>
          <w:sz w:val="28"/>
          <w:szCs w:val="28"/>
        </w:rPr>
        <w:t xml:space="preserve"> </w:t>
      </w:r>
      <w:r w:rsidRPr="00EF0EC8">
        <w:rPr>
          <w:rFonts w:ascii="Times New Roman" w:hAnsi="Times New Roman" w:cs="Times New Roman"/>
          <w:sz w:val="28"/>
          <w:szCs w:val="28"/>
        </w:rPr>
        <w:t>режим воєнного</w:t>
      </w:r>
      <w:r w:rsidRPr="00EF0EC8">
        <w:rPr>
          <w:rFonts w:ascii="Times New Roman" w:hAnsi="Times New Roman" w:cs="Times New Roman"/>
          <w:b/>
          <w:bCs/>
          <w:sz w:val="28"/>
          <w:szCs w:val="28"/>
        </w:rPr>
        <w:t xml:space="preserve"> </w:t>
      </w:r>
      <w:proofErr w:type="spellStart"/>
      <w:r w:rsidRPr="00EF0EC8">
        <w:rPr>
          <w:rFonts w:ascii="Times New Roman" w:hAnsi="Times New Roman" w:cs="Times New Roman"/>
          <w:sz w:val="28"/>
          <w:szCs w:val="28"/>
        </w:rPr>
        <w:t>стану»:«В</w:t>
      </w:r>
      <w:proofErr w:type="spellEnd"/>
      <w:r w:rsidRPr="00EF0EC8">
        <w:rPr>
          <w:rFonts w:ascii="Times New Roman" w:hAnsi="Times New Roman" w:cs="Times New Roman"/>
          <w:sz w:val="28"/>
          <w:szCs w:val="28"/>
        </w:rPr>
        <w:t xml:space="preserve"> умовах воєнного стану особа, уповноважена на виконання функцій держави або місцевого самоврядування, не несе відповідальність, у тому числі кримінальну, за рішення, дії чи бездіяльність, негативні наслідки яких неможливо було передбачити або які охоплюються виправданим ризиком за умови, що такі дії (бездіяльність) були необхідні для відсічі збройної агресії проти України або ліквідації (нейтралізації) збройного конфлікту».</w:t>
      </w:r>
      <w:r>
        <w:rPr>
          <w:rFonts w:ascii="Times New Roman" w:hAnsi="Times New Roman" w:cs="Times New Roman"/>
          <w:sz w:val="28"/>
          <w:szCs w:val="28"/>
        </w:rPr>
        <w:t xml:space="preserve"> </w:t>
      </w:r>
      <w:r w:rsidRPr="00EF0EC8">
        <w:rPr>
          <w:rFonts w:ascii="Times New Roman" w:hAnsi="Times New Roman" w:cs="Times New Roman"/>
          <w:b/>
          <w:bCs/>
          <w:sz w:val="28"/>
          <w:szCs w:val="28"/>
        </w:rPr>
        <w:t xml:space="preserve">Підставою  </w:t>
      </w:r>
      <w:r w:rsidRPr="00EF0EC8">
        <w:rPr>
          <w:rFonts w:ascii="Times New Roman" w:hAnsi="Times New Roman" w:cs="Times New Roman"/>
          <w:sz w:val="28"/>
          <w:szCs w:val="28"/>
        </w:rPr>
        <w:t>для вчинення зазначених дій є наявність необхідності їх вчинення  для відсічі</w:t>
      </w:r>
      <w:r w:rsidRPr="00EF0EC8">
        <w:rPr>
          <w:rFonts w:ascii="Times New Roman" w:hAnsi="Times New Roman" w:cs="Times New Roman"/>
          <w:b/>
          <w:bCs/>
          <w:sz w:val="28"/>
          <w:szCs w:val="28"/>
        </w:rPr>
        <w:t xml:space="preserve"> </w:t>
      </w:r>
      <w:r w:rsidRPr="00EF0EC8">
        <w:rPr>
          <w:rFonts w:ascii="Times New Roman" w:hAnsi="Times New Roman" w:cs="Times New Roman"/>
          <w:sz w:val="28"/>
          <w:szCs w:val="28"/>
        </w:rPr>
        <w:t>збройної агресії проти України або збройного конфлікту.</w:t>
      </w:r>
      <w:r>
        <w:rPr>
          <w:rFonts w:ascii="Times New Roman" w:hAnsi="Times New Roman" w:cs="Times New Roman"/>
          <w:sz w:val="28"/>
          <w:szCs w:val="28"/>
        </w:rPr>
        <w:t xml:space="preserve"> </w:t>
      </w:r>
      <w:r w:rsidRPr="00EF0EC8">
        <w:rPr>
          <w:rFonts w:ascii="Times New Roman" w:hAnsi="Times New Roman" w:cs="Times New Roman"/>
          <w:b/>
          <w:bCs/>
          <w:sz w:val="28"/>
          <w:szCs w:val="28"/>
        </w:rPr>
        <w:t xml:space="preserve">Ознаки </w:t>
      </w:r>
      <w:r w:rsidRPr="00EF0EC8">
        <w:rPr>
          <w:rFonts w:ascii="Times New Roman" w:hAnsi="Times New Roman" w:cs="Times New Roman"/>
          <w:sz w:val="28"/>
          <w:szCs w:val="28"/>
        </w:rPr>
        <w:t>правомірного діяння</w:t>
      </w:r>
      <w:r w:rsidRPr="00EF0EC8">
        <w:rPr>
          <w:rFonts w:ascii="Times New Roman" w:hAnsi="Times New Roman" w:cs="Times New Roman"/>
          <w:b/>
          <w:bCs/>
          <w:sz w:val="28"/>
          <w:szCs w:val="28"/>
        </w:rPr>
        <w:t>:</w:t>
      </w:r>
      <w:r w:rsidRPr="00EF0EC8">
        <w:rPr>
          <w:rFonts w:ascii="Times New Roman" w:hAnsi="Times New Roman" w:cs="Times New Roman"/>
          <w:sz w:val="28"/>
          <w:szCs w:val="28"/>
        </w:rPr>
        <w:t>1) суб’єкт</w:t>
      </w:r>
      <w:r w:rsidRPr="00EF0EC8">
        <w:rPr>
          <w:rFonts w:ascii="Times New Roman" w:hAnsi="Times New Roman" w:cs="Times New Roman"/>
          <w:b/>
          <w:bCs/>
          <w:sz w:val="28"/>
          <w:szCs w:val="28"/>
        </w:rPr>
        <w:t xml:space="preserve"> – </w:t>
      </w:r>
      <w:r w:rsidRPr="00EF0EC8">
        <w:rPr>
          <w:rFonts w:ascii="Times New Roman" w:hAnsi="Times New Roman" w:cs="Times New Roman"/>
          <w:sz w:val="28"/>
          <w:szCs w:val="28"/>
        </w:rPr>
        <w:t>особа, уповноважена на виконання функцій держави або місцевого самоврядування (ч. 1 ст. 3 ЗУ «Про запобігання корупції»),</w:t>
      </w:r>
      <w:r>
        <w:rPr>
          <w:rFonts w:ascii="Times New Roman" w:hAnsi="Times New Roman" w:cs="Times New Roman"/>
          <w:sz w:val="28"/>
          <w:szCs w:val="28"/>
        </w:rPr>
        <w:t xml:space="preserve"> </w:t>
      </w:r>
      <w:r w:rsidRPr="00EF0EC8">
        <w:rPr>
          <w:rFonts w:ascii="Times New Roman" w:hAnsi="Times New Roman" w:cs="Times New Roman"/>
          <w:sz w:val="28"/>
          <w:szCs w:val="28"/>
        </w:rPr>
        <w:t>2)</w:t>
      </w:r>
      <w:r w:rsidRPr="00EF0EC8">
        <w:rPr>
          <w:rFonts w:ascii="Times New Roman" w:hAnsi="Times New Roman" w:cs="Times New Roman"/>
          <w:b/>
          <w:bCs/>
          <w:sz w:val="28"/>
          <w:szCs w:val="28"/>
        </w:rPr>
        <w:t xml:space="preserve"> </w:t>
      </w:r>
      <w:r w:rsidRPr="00EF0EC8">
        <w:rPr>
          <w:rFonts w:ascii="Times New Roman" w:hAnsi="Times New Roman" w:cs="Times New Roman"/>
          <w:sz w:val="28"/>
          <w:szCs w:val="28"/>
        </w:rPr>
        <w:t>об’єкт</w:t>
      </w:r>
      <w:r w:rsidRPr="00EF0EC8">
        <w:rPr>
          <w:rFonts w:ascii="Times New Roman" w:hAnsi="Times New Roman" w:cs="Times New Roman"/>
          <w:b/>
          <w:bCs/>
          <w:sz w:val="28"/>
          <w:szCs w:val="28"/>
        </w:rPr>
        <w:t xml:space="preserve"> – </w:t>
      </w:r>
      <w:proofErr w:type="spellStart"/>
      <w:r w:rsidRPr="00EF0EC8">
        <w:rPr>
          <w:rFonts w:ascii="Times New Roman" w:hAnsi="Times New Roman" w:cs="Times New Roman"/>
          <w:sz w:val="28"/>
          <w:szCs w:val="28"/>
        </w:rPr>
        <w:t>правоохоронювані</w:t>
      </w:r>
      <w:proofErr w:type="spellEnd"/>
      <w:r w:rsidRPr="00EF0EC8">
        <w:rPr>
          <w:rFonts w:ascii="Times New Roman" w:hAnsi="Times New Roman" w:cs="Times New Roman"/>
          <w:sz w:val="28"/>
          <w:szCs w:val="28"/>
        </w:rPr>
        <w:t xml:space="preserve"> інтереси особи, суспільства, держави, 3) об’єктивна сторона</w:t>
      </w:r>
      <w:r w:rsidRPr="00EF0EC8">
        <w:rPr>
          <w:rFonts w:ascii="Times New Roman" w:hAnsi="Times New Roman" w:cs="Times New Roman"/>
          <w:b/>
          <w:bCs/>
          <w:sz w:val="28"/>
          <w:szCs w:val="28"/>
        </w:rPr>
        <w:t xml:space="preserve"> – </w:t>
      </w:r>
      <w:r w:rsidRPr="00EF0EC8">
        <w:rPr>
          <w:rFonts w:ascii="Times New Roman" w:hAnsi="Times New Roman" w:cs="Times New Roman"/>
          <w:sz w:val="28"/>
          <w:szCs w:val="28"/>
        </w:rPr>
        <w:t xml:space="preserve">ухвалення рішення або вчинення дії чи бездіяльності в межах владних повноважень  в умовах воєнного стану, що спричинило шкоду (негативні наслідки) </w:t>
      </w:r>
      <w:proofErr w:type="spellStart"/>
      <w:r w:rsidRPr="00EF0EC8">
        <w:rPr>
          <w:rFonts w:ascii="Times New Roman" w:hAnsi="Times New Roman" w:cs="Times New Roman"/>
          <w:sz w:val="28"/>
          <w:szCs w:val="28"/>
        </w:rPr>
        <w:t>правоохоронюваним</w:t>
      </w:r>
      <w:proofErr w:type="spellEnd"/>
      <w:r w:rsidRPr="00EF0EC8">
        <w:rPr>
          <w:rFonts w:ascii="Times New Roman" w:hAnsi="Times New Roman" w:cs="Times New Roman"/>
          <w:sz w:val="28"/>
          <w:szCs w:val="28"/>
        </w:rPr>
        <w:t xml:space="preserve"> інтересам, 4) мета – відсіч збройної агресії проти України або ліквідація (нейтралізація) збройного конфлікту, 5) суб’єктивний</w:t>
      </w:r>
      <w:r w:rsidRPr="00EF0EC8">
        <w:rPr>
          <w:rFonts w:ascii="Times New Roman" w:hAnsi="Times New Roman" w:cs="Times New Roman"/>
          <w:b/>
          <w:bCs/>
          <w:sz w:val="28"/>
          <w:szCs w:val="28"/>
        </w:rPr>
        <w:t xml:space="preserve"> </w:t>
      </w:r>
      <w:r w:rsidRPr="00EF0EC8">
        <w:rPr>
          <w:rFonts w:ascii="Times New Roman" w:hAnsi="Times New Roman" w:cs="Times New Roman"/>
          <w:sz w:val="28"/>
          <w:szCs w:val="28"/>
        </w:rPr>
        <w:t>контроль</w:t>
      </w:r>
      <w:r w:rsidRPr="00EF0EC8">
        <w:rPr>
          <w:rFonts w:ascii="Times New Roman" w:hAnsi="Times New Roman" w:cs="Times New Roman"/>
          <w:b/>
          <w:bCs/>
          <w:sz w:val="28"/>
          <w:szCs w:val="28"/>
        </w:rPr>
        <w:t xml:space="preserve"> – </w:t>
      </w:r>
      <w:r w:rsidRPr="00EF0EC8">
        <w:rPr>
          <w:rFonts w:ascii="Times New Roman" w:hAnsi="Times New Roman" w:cs="Times New Roman"/>
          <w:sz w:val="28"/>
          <w:szCs w:val="28"/>
        </w:rPr>
        <w:t xml:space="preserve">неможливість передбачити настання негативних наслідків при ухваленні рішення чи вчиненні дії або </w:t>
      </w:r>
      <w:r w:rsidRPr="00EF0EC8">
        <w:rPr>
          <w:rFonts w:ascii="Times New Roman" w:hAnsi="Times New Roman" w:cs="Times New Roman"/>
          <w:sz w:val="28"/>
          <w:szCs w:val="28"/>
        </w:rPr>
        <w:lastRenderedPageBreak/>
        <w:t xml:space="preserve">бездіяльності або настання негативних наслідків охоплювалося виправданим ризиком.  </w:t>
      </w:r>
    </w:p>
    <w:p w:rsidR="00EF0EC8" w:rsidRPr="0083667F" w:rsidRDefault="00EF0EC8" w:rsidP="00EF0EC8">
      <w:pPr>
        <w:spacing w:after="0" w:line="360" w:lineRule="auto"/>
        <w:ind w:firstLine="567"/>
        <w:jc w:val="both"/>
        <w:rPr>
          <w:rFonts w:ascii="Times New Roman" w:hAnsi="Times New Roman" w:cs="Times New Roman"/>
          <w:sz w:val="28"/>
          <w:szCs w:val="28"/>
        </w:rPr>
      </w:pPr>
      <w:r w:rsidRPr="0083667F">
        <w:rPr>
          <w:rFonts w:ascii="Times New Roman" w:hAnsi="Times New Roman" w:cs="Times New Roman"/>
          <w:sz w:val="28"/>
          <w:szCs w:val="28"/>
        </w:rPr>
        <w:t>Події 22 вересня</w:t>
      </w:r>
      <w:r>
        <w:rPr>
          <w:rFonts w:ascii="Times New Roman" w:hAnsi="Times New Roman" w:cs="Times New Roman"/>
          <w:sz w:val="28"/>
          <w:szCs w:val="28"/>
        </w:rPr>
        <w:t xml:space="preserve"> цього року,</w:t>
      </w:r>
      <w:r w:rsidRPr="0083667F">
        <w:rPr>
          <w:rFonts w:ascii="Times New Roman" w:hAnsi="Times New Roman" w:cs="Times New Roman"/>
          <w:sz w:val="28"/>
          <w:szCs w:val="28"/>
        </w:rPr>
        <w:t xml:space="preserve"> пов’язані з обміном і поверненням в Україну 215 військовополонених</w:t>
      </w:r>
      <w:r>
        <w:rPr>
          <w:rFonts w:ascii="Times New Roman" w:hAnsi="Times New Roman" w:cs="Times New Roman"/>
          <w:sz w:val="28"/>
          <w:szCs w:val="28"/>
        </w:rPr>
        <w:t>,</w:t>
      </w:r>
      <w:r w:rsidRPr="0083667F">
        <w:rPr>
          <w:rFonts w:ascii="Times New Roman" w:hAnsi="Times New Roman" w:cs="Times New Roman"/>
          <w:sz w:val="28"/>
          <w:szCs w:val="28"/>
        </w:rPr>
        <w:t xml:space="preserve"> поставили питання щодо удосконалення новітньої статті 84-1 «Звільнення від відбування покарання у зв’язку з прийняттям уповноваженим органом рішення про передачу засудженого для обміну як військовополоненого». Це завдання на майбутнє, </w:t>
      </w:r>
      <w:r>
        <w:rPr>
          <w:rFonts w:ascii="Times New Roman" w:hAnsi="Times New Roman" w:cs="Times New Roman"/>
          <w:sz w:val="28"/>
          <w:szCs w:val="28"/>
        </w:rPr>
        <w:t>і</w:t>
      </w:r>
      <w:r w:rsidRPr="0083667F">
        <w:rPr>
          <w:rFonts w:ascii="Times New Roman" w:hAnsi="Times New Roman" w:cs="Times New Roman"/>
          <w:sz w:val="28"/>
          <w:szCs w:val="28"/>
        </w:rPr>
        <w:t xml:space="preserve"> взагалі війна дає багато </w:t>
      </w:r>
      <w:r>
        <w:rPr>
          <w:rFonts w:ascii="Times New Roman" w:hAnsi="Times New Roman" w:cs="Times New Roman"/>
          <w:sz w:val="28"/>
          <w:szCs w:val="28"/>
        </w:rPr>
        <w:t>прикладів н</w:t>
      </w:r>
      <w:r w:rsidRPr="0083667F">
        <w:rPr>
          <w:rFonts w:ascii="Times New Roman" w:hAnsi="Times New Roman" w:cs="Times New Roman"/>
          <w:sz w:val="28"/>
          <w:szCs w:val="28"/>
        </w:rPr>
        <w:t>ових життєвих ситуацій</w:t>
      </w:r>
      <w:r>
        <w:rPr>
          <w:rFonts w:ascii="Times New Roman" w:hAnsi="Times New Roman" w:cs="Times New Roman"/>
          <w:sz w:val="28"/>
          <w:szCs w:val="28"/>
        </w:rPr>
        <w:t>, що виникають в умовах війни</w:t>
      </w:r>
      <w:r w:rsidRPr="0083667F">
        <w:rPr>
          <w:rFonts w:ascii="Times New Roman" w:hAnsi="Times New Roman" w:cs="Times New Roman"/>
          <w:sz w:val="28"/>
          <w:szCs w:val="28"/>
        </w:rPr>
        <w:t xml:space="preserve">, які потрібують свого дослідження і відповідного реагування розробників </w:t>
      </w:r>
      <w:proofErr w:type="spellStart"/>
      <w:r w:rsidRPr="0083667F">
        <w:rPr>
          <w:rFonts w:ascii="Times New Roman" w:hAnsi="Times New Roman" w:cs="Times New Roman"/>
          <w:sz w:val="28"/>
          <w:szCs w:val="28"/>
        </w:rPr>
        <w:t>проєкту</w:t>
      </w:r>
      <w:proofErr w:type="spellEnd"/>
      <w:r w:rsidRPr="0083667F">
        <w:rPr>
          <w:rFonts w:ascii="Times New Roman" w:hAnsi="Times New Roman" w:cs="Times New Roman"/>
          <w:sz w:val="28"/>
          <w:szCs w:val="28"/>
        </w:rPr>
        <w:t xml:space="preserve"> КК України.</w:t>
      </w:r>
    </w:p>
    <w:p w:rsidR="0093733D" w:rsidRPr="0036274D" w:rsidRDefault="0093733D" w:rsidP="009373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Другий виклик, який з’явився у період війни, це ухвалення Європейською Радою на саміті у Брюсселі 23 червня 2022 року надзвичайно </w:t>
      </w:r>
      <w:r w:rsidRPr="0044360A">
        <w:rPr>
          <w:rFonts w:ascii="Times New Roman" w:hAnsi="Times New Roman" w:cs="Times New Roman"/>
          <w:sz w:val="28"/>
          <w:szCs w:val="28"/>
        </w:rPr>
        <w:t xml:space="preserve">важливого рішення про надання Україні статусу кандидата у Європейський Союз </w:t>
      </w:r>
      <w:r w:rsidRPr="0044360A">
        <w:rPr>
          <w:rFonts w:ascii="Times New Roman" w:hAnsi="Times New Roman" w:cs="Times New Roman"/>
          <w:sz w:val="28"/>
          <w:szCs w:val="28"/>
          <w:lang w:val="ru-RU"/>
        </w:rPr>
        <w:t>[2]</w:t>
      </w:r>
      <w:r w:rsidRPr="0044360A">
        <w:rPr>
          <w:rFonts w:ascii="Times New Roman" w:hAnsi="Times New Roman" w:cs="Times New Roman"/>
          <w:sz w:val="28"/>
          <w:szCs w:val="28"/>
        </w:rPr>
        <w:t xml:space="preserve">. Це рішення, поміж іншим, передбачає виконання численних зобов’язань України щодо адаптації її законодавства, у тому числі і кримінального, до </w:t>
      </w:r>
      <w:r w:rsidRPr="0044360A">
        <w:rPr>
          <w:rFonts w:ascii="Times New Roman" w:hAnsi="Times New Roman" w:cs="Times New Roman"/>
          <w:sz w:val="28"/>
          <w:szCs w:val="28"/>
          <w:lang w:val="en-US"/>
        </w:rPr>
        <w:t>acquis</w:t>
      </w:r>
      <w:r w:rsidRPr="0044360A">
        <w:rPr>
          <w:rFonts w:ascii="Times New Roman" w:hAnsi="Times New Roman" w:cs="Times New Roman"/>
          <w:sz w:val="28"/>
          <w:szCs w:val="28"/>
        </w:rPr>
        <w:t xml:space="preserve"> </w:t>
      </w:r>
      <w:proofErr w:type="spellStart"/>
      <w:r w:rsidRPr="0044360A">
        <w:rPr>
          <w:rFonts w:ascii="Times New Roman" w:hAnsi="Times New Roman" w:cs="Times New Roman"/>
          <w:sz w:val="28"/>
          <w:szCs w:val="28"/>
          <w:lang w:val="en-US"/>
        </w:rPr>
        <w:t>communautaire</w:t>
      </w:r>
      <w:proofErr w:type="spellEnd"/>
      <w:r w:rsidRPr="00E00223">
        <w:rPr>
          <w:rFonts w:ascii="Times New Roman" w:hAnsi="Times New Roman" w:cs="Times New Roman"/>
          <w:sz w:val="28"/>
          <w:szCs w:val="28"/>
        </w:rPr>
        <w:t xml:space="preserve"> </w:t>
      </w:r>
      <w:r>
        <w:rPr>
          <w:rFonts w:ascii="Times New Roman" w:hAnsi="Times New Roman" w:cs="Times New Roman"/>
          <w:sz w:val="28"/>
          <w:szCs w:val="28"/>
        </w:rPr>
        <w:t>ЄС. Наразі, Уряд, Комітети Верховної Ради України,</w:t>
      </w:r>
      <w:r w:rsidRPr="00E00223">
        <w:rPr>
          <w:rFonts w:ascii="Times New Roman" w:hAnsi="Times New Roman" w:cs="Times New Roman"/>
          <w:sz w:val="28"/>
          <w:szCs w:val="28"/>
        </w:rPr>
        <w:t xml:space="preserve"> </w:t>
      </w:r>
      <w:r>
        <w:rPr>
          <w:rFonts w:ascii="Times New Roman" w:hAnsi="Times New Roman" w:cs="Times New Roman"/>
          <w:sz w:val="28"/>
          <w:szCs w:val="28"/>
        </w:rPr>
        <w:t xml:space="preserve">народні депутати здійснюють велику роботу по підготовці </w:t>
      </w:r>
      <w:proofErr w:type="spellStart"/>
      <w:r>
        <w:rPr>
          <w:rFonts w:ascii="Times New Roman" w:hAnsi="Times New Roman" w:cs="Times New Roman"/>
          <w:sz w:val="28"/>
          <w:szCs w:val="28"/>
        </w:rPr>
        <w:t>законопроєктів</w:t>
      </w:r>
      <w:proofErr w:type="spellEnd"/>
      <w:r>
        <w:rPr>
          <w:rFonts w:ascii="Times New Roman" w:hAnsi="Times New Roman" w:cs="Times New Roman"/>
          <w:sz w:val="28"/>
          <w:szCs w:val="28"/>
        </w:rPr>
        <w:t xml:space="preserve"> щодо адаптації законодавства України до тих Директив, Регламентів та інших актів ЄС (далі – Директиви), які Україна зобов’язалася </w:t>
      </w:r>
      <w:proofErr w:type="spellStart"/>
      <w:r>
        <w:rPr>
          <w:rFonts w:ascii="Times New Roman" w:hAnsi="Times New Roman" w:cs="Times New Roman"/>
          <w:sz w:val="28"/>
          <w:szCs w:val="28"/>
        </w:rPr>
        <w:t>імплементувати</w:t>
      </w:r>
      <w:proofErr w:type="spellEnd"/>
      <w:r>
        <w:rPr>
          <w:rFonts w:ascii="Times New Roman" w:hAnsi="Times New Roman" w:cs="Times New Roman"/>
          <w:sz w:val="28"/>
          <w:szCs w:val="28"/>
        </w:rPr>
        <w:t xml:space="preserve"> у національну систему права. Вочевидь, що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КК, який побудований на інших змістовних і структурних положеннях у порівнянні з чинним КК, також покликаний передбачити у своїх приписах положення </w:t>
      </w:r>
      <w:r>
        <w:rPr>
          <w:rFonts w:ascii="Times New Roman" w:hAnsi="Times New Roman" w:cs="Times New Roman"/>
          <w:sz w:val="28"/>
          <w:szCs w:val="28"/>
          <w:lang w:val="en-US"/>
        </w:rPr>
        <w:t>acquis</w:t>
      </w:r>
      <w:r w:rsidRPr="00E00223">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communautaire</w:t>
      </w:r>
      <w:proofErr w:type="spellEnd"/>
      <w:r>
        <w:rPr>
          <w:rFonts w:ascii="Times New Roman" w:hAnsi="Times New Roman" w:cs="Times New Roman"/>
          <w:sz w:val="28"/>
          <w:szCs w:val="28"/>
        </w:rPr>
        <w:t xml:space="preserve"> ЄС. Тим більше, передбачається моніторинг адаптованих положень у чинний КК, і якщо в результаті такого моніторингу будуть сформульовані додаткові зауваження та пропозиції, то робоча група також повинна врахувати їх у тексті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нового КК.</w:t>
      </w:r>
    </w:p>
    <w:p w:rsidR="0093733D" w:rsidRDefault="0093733D" w:rsidP="009373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Як зауважив проф. </w:t>
      </w:r>
      <w:proofErr w:type="spellStart"/>
      <w:r>
        <w:rPr>
          <w:rFonts w:ascii="Times New Roman" w:hAnsi="Times New Roman" w:cs="Times New Roman"/>
          <w:sz w:val="28"/>
          <w:szCs w:val="28"/>
        </w:rPr>
        <w:t>Г.Шведас</w:t>
      </w:r>
      <w:proofErr w:type="spellEnd"/>
      <w:r>
        <w:rPr>
          <w:rFonts w:ascii="Times New Roman" w:hAnsi="Times New Roman" w:cs="Times New Roman"/>
          <w:sz w:val="28"/>
          <w:szCs w:val="28"/>
        </w:rPr>
        <w:t xml:space="preserve"> на УІ Міжнародному Харківському юридичному форумі матеріальне кримінальне право ЄС є невеликим за своїм обсягом – 37 Директив, що виділяють 16 сфер, в яких передбачаються ознаки окремих злочинів, серед яких нелегальна міграція, нелегальне працевлаштування, охорона навколишнього середовища, зловживання на ринку, фінансові інтереси ЄС, банківська сфера, тероризм тощо. Наприклад, у КК Литви 88 статей (майже 1/3 Особливої частини) пов’язані із кримінальним правом ЄС. </w:t>
      </w:r>
    </w:p>
    <w:p w:rsidR="0093733D" w:rsidRDefault="0093733D" w:rsidP="009373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Вочевидь, що кожна Директива ЄС має свої особливості, пов’язані з предметом її регулювання. В той же час доповіді, зроблені нашими закордонними колегами (проф. </w:t>
      </w:r>
      <w:proofErr w:type="spellStart"/>
      <w:r>
        <w:rPr>
          <w:rFonts w:ascii="Times New Roman" w:hAnsi="Times New Roman" w:cs="Times New Roman"/>
          <w:sz w:val="28"/>
          <w:szCs w:val="28"/>
        </w:rPr>
        <w:t>Влодзімежем</w:t>
      </w:r>
      <w:proofErr w:type="spellEnd"/>
      <w:r>
        <w:rPr>
          <w:rFonts w:ascii="Times New Roman" w:hAnsi="Times New Roman" w:cs="Times New Roman"/>
          <w:sz w:val="28"/>
          <w:szCs w:val="28"/>
        </w:rPr>
        <w:t xml:space="preserve"> Врубелем, завідувачем кафедри кримінального права </w:t>
      </w:r>
      <w:proofErr w:type="spellStart"/>
      <w:r>
        <w:rPr>
          <w:rFonts w:ascii="Times New Roman" w:hAnsi="Times New Roman" w:cs="Times New Roman"/>
          <w:sz w:val="28"/>
          <w:szCs w:val="28"/>
        </w:rPr>
        <w:t>Ягеллонського</w:t>
      </w:r>
      <w:proofErr w:type="spellEnd"/>
      <w:r>
        <w:rPr>
          <w:rFonts w:ascii="Times New Roman" w:hAnsi="Times New Roman" w:cs="Times New Roman"/>
          <w:sz w:val="28"/>
          <w:szCs w:val="28"/>
        </w:rPr>
        <w:t xml:space="preserve"> університету (Польща), доцентом цієї кафедри Домініком </w:t>
      </w:r>
      <w:proofErr w:type="spellStart"/>
      <w:r>
        <w:rPr>
          <w:rFonts w:ascii="Times New Roman" w:hAnsi="Times New Roman" w:cs="Times New Roman"/>
          <w:sz w:val="28"/>
          <w:szCs w:val="28"/>
        </w:rPr>
        <w:t>Зайонцем</w:t>
      </w:r>
      <w:proofErr w:type="spellEnd"/>
      <w:r>
        <w:rPr>
          <w:rFonts w:ascii="Times New Roman" w:hAnsi="Times New Roman" w:cs="Times New Roman"/>
          <w:sz w:val="28"/>
          <w:szCs w:val="28"/>
        </w:rPr>
        <w:t xml:space="preserve">, доцентом кафедри кримінального права Загребського університету Хорватії </w:t>
      </w:r>
      <w:proofErr w:type="spellStart"/>
      <w:r>
        <w:rPr>
          <w:rFonts w:ascii="Times New Roman" w:hAnsi="Times New Roman" w:cs="Times New Roman"/>
          <w:sz w:val="28"/>
          <w:szCs w:val="28"/>
        </w:rPr>
        <w:t>Сунцаною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Роксандіч</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проф.Гінтарасом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Шведасом</w:t>
      </w:r>
      <w:proofErr w:type="spellEnd"/>
      <w:r>
        <w:rPr>
          <w:rFonts w:ascii="Times New Roman" w:hAnsi="Times New Roman" w:cs="Times New Roman"/>
          <w:sz w:val="28"/>
          <w:szCs w:val="28"/>
        </w:rPr>
        <w:t xml:space="preserve"> завідувачем кафедри кримінальної юстиції Вільнюського університету (Литва) на УІ Міжнародному Харківському юридичному форумі 5 жовтня 2022 року, а також членами робочої групи з питань розвитку кримінального права </w:t>
      </w:r>
      <w:proofErr w:type="spellStart"/>
      <w:r>
        <w:rPr>
          <w:rFonts w:ascii="Times New Roman" w:hAnsi="Times New Roman" w:cs="Times New Roman"/>
          <w:sz w:val="28"/>
          <w:szCs w:val="28"/>
        </w:rPr>
        <w:t>М.І.Хавронюком</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Ю.А.Пономаренком</w:t>
      </w:r>
      <w:proofErr w:type="spellEnd"/>
      <w:r>
        <w:rPr>
          <w:rFonts w:ascii="Times New Roman" w:hAnsi="Times New Roman" w:cs="Times New Roman"/>
          <w:sz w:val="28"/>
          <w:szCs w:val="28"/>
        </w:rPr>
        <w:t xml:space="preserve"> дають підстави для висновку, що зміст Директив ЄС підпорядковується певній схемі, яку треба мати на увазі при їх аналізі. У всякому разі при роботі з Директивами ЄС, які підлягають імплементації у кримінальне законодавство України, доцільно звертати увагу на наступні складові елементи, які враховуються розробниками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КК при адаптації цього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до Директив ЄС. </w:t>
      </w:r>
    </w:p>
    <w:p w:rsidR="0093733D" w:rsidRPr="008D588F" w:rsidRDefault="0093733D" w:rsidP="0093733D">
      <w:pPr>
        <w:pStyle w:val="a3"/>
        <w:numPr>
          <w:ilvl w:val="0"/>
          <w:numId w:val="3"/>
        </w:numPr>
        <w:spacing w:after="0" w:line="360" w:lineRule="auto"/>
        <w:ind w:left="0"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Роз’яснення певних термінів (словосполучень), які використовуються у Директиві ЄС. </w:t>
      </w:r>
      <w:r>
        <w:rPr>
          <w:rFonts w:ascii="Times New Roman" w:hAnsi="Times New Roman" w:cs="Times New Roman"/>
          <w:sz w:val="28"/>
          <w:szCs w:val="28"/>
        </w:rPr>
        <w:t xml:space="preserve">Вочевидь, що ці терміни (словосполучення) мають цільове призначення саме для юридичної визначеності положень, передбачених у Директиві. В той же час вживанні у Директивах терміни (словосполучення) не завжди співпадають з тими, які використовуються у національному законодавстві, у тому числі у </w:t>
      </w:r>
      <w:proofErr w:type="spellStart"/>
      <w:r>
        <w:rPr>
          <w:rFonts w:ascii="Times New Roman" w:hAnsi="Times New Roman" w:cs="Times New Roman"/>
          <w:sz w:val="28"/>
          <w:szCs w:val="28"/>
        </w:rPr>
        <w:t>проєкті</w:t>
      </w:r>
      <w:proofErr w:type="spellEnd"/>
      <w:r>
        <w:rPr>
          <w:rFonts w:ascii="Times New Roman" w:hAnsi="Times New Roman" w:cs="Times New Roman"/>
          <w:sz w:val="28"/>
          <w:szCs w:val="28"/>
        </w:rPr>
        <w:t xml:space="preserve"> КК. Щоб уникнути протирічь між текстом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КК і значенням термінів, які використовуються у Директивах, у ч.1 ст.1.3.1.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КК «Значення термінів Кримінального кодексу» передбачено: «Терміни, вжиті у цьому Кодексі, які мають визначення в іншому законі, міжнародному договорі чи акті Європейського Союзу, застосовуються до свого нормативного визначення, крім випадків, передбачених частиною 2 цієї статті та іншими статтями цього Кодексу».  Може виникнути ситуація, коли в українській мові важко буде знайти аналог терміну, вжитого в Директиві ЄС, в перекладі з англійської чи французької мови. В такому випадку необхідно шукати аналог, який найбільш наближений до значення терміну, вжитому у Директиві. </w:t>
      </w:r>
    </w:p>
    <w:p w:rsidR="0093733D" w:rsidRPr="008D588F" w:rsidRDefault="0093733D" w:rsidP="0093733D">
      <w:pPr>
        <w:pStyle w:val="a3"/>
        <w:numPr>
          <w:ilvl w:val="0"/>
          <w:numId w:val="3"/>
        </w:numPr>
        <w:spacing w:after="0" w:line="360" w:lineRule="auto"/>
        <w:ind w:left="0"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Ознаки кримінального правопорушення. </w:t>
      </w:r>
      <w:r>
        <w:rPr>
          <w:rFonts w:ascii="Times New Roman" w:hAnsi="Times New Roman" w:cs="Times New Roman"/>
          <w:sz w:val="28"/>
          <w:szCs w:val="28"/>
        </w:rPr>
        <w:t xml:space="preserve">Як зазначалося, у Директивах передбачено 16 сфер, в яких виділяються діяння, ознаки яких мають бути визнані злочинними у національному кримінальному законодавстві. Автори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КК своє завдання бачать у тому, щоб ознаки таких діянь знайшли своє адекватне відображення в певній статті Особливої частини з урахуванням тих концептуальних положень, які закладені у побудову Особливої, а також Загальної частин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КК. </w:t>
      </w:r>
    </w:p>
    <w:p w:rsidR="0093733D" w:rsidRDefault="0093733D" w:rsidP="0093733D">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3. Ознаки, які змінюють (знижують або підвищують) тяжкість кримінального правопорушення. </w:t>
      </w:r>
      <w:r>
        <w:rPr>
          <w:rFonts w:ascii="Times New Roman" w:hAnsi="Times New Roman" w:cs="Times New Roman"/>
          <w:sz w:val="28"/>
          <w:szCs w:val="28"/>
        </w:rPr>
        <w:t xml:space="preserve">В </w:t>
      </w:r>
      <w:proofErr w:type="spellStart"/>
      <w:r>
        <w:rPr>
          <w:rFonts w:ascii="Times New Roman" w:hAnsi="Times New Roman" w:cs="Times New Roman"/>
          <w:sz w:val="28"/>
          <w:szCs w:val="28"/>
        </w:rPr>
        <w:t>проєкті</w:t>
      </w:r>
      <w:proofErr w:type="spellEnd"/>
      <w:r>
        <w:rPr>
          <w:rFonts w:ascii="Times New Roman" w:hAnsi="Times New Roman" w:cs="Times New Roman"/>
          <w:sz w:val="28"/>
          <w:szCs w:val="28"/>
        </w:rPr>
        <w:t xml:space="preserve"> КК закладена ідея, відповідно до якої ознаки, що знижують або підвищують ступінь тяжкості злочину передбачені на початку кожного розділу Особливої частини. В тих випадках, якщо в </w:t>
      </w:r>
      <w:proofErr w:type="spellStart"/>
      <w:r>
        <w:rPr>
          <w:rFonts w:ascii="Times New Roman" w:hAnsi="Times New Roman" w:cs="Times New Roman"/>
          <w:sz w:val="28"/>
          <w:szCs w:val="28"/>
        </w:rPr>
        <w:t>проєкті</w:t>
      </w:r>
      <w:proofErr w:type="spellEnd"/>
      <w:r>
        <w:rPr>
          <w:rFonts w:ascii="Times New Roman" w:hAnsi="Times New Roman" w:cs="Times New Roman"/>
          <w:sz w:val="28"/>
          <w:szCs w:val="28"/>
        </w:rPr>
        <w:t xml:space="preserve"> КК не передбачена та чи інша ознака, що знижує або підвищує ступінь тяжкості певного злочину, то розробники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КК модифікують існуючу ознаку і поширюють її на той чи інший основний склад злочину, або формулюють окрему ознаку, яка б була адекватною тій, що передбачена у Директиві. </w:t>
      </w:r>
    </w:p>
    <w:p w:rsidR="0093733D" w:rsidRDefault="0093733D" w:rsidP="0093733D">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4. Кримінальна відповідальність за незакінчений злочин. </w:t>
      </w:r>
      <w:r>
        <w:rPr>
          <w:rFonts w:ascii="Times New Roman" w:hAnsi="Times New Roman" w:cs="Times New Roman"/>
          <w:sz w:val="28"/>
          <w:szCs w:val="28"/>
        </w:rPr>
        <w:t xml:space="preserve">Згідно із ч.5 ст.2.6.1.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КК не є кримінальним правопорушенням готування до злочину 1-4 ступенів тяжкості та замах на злочин 1-2 ступенів тяжкості. В той же час деякі Директиви передбачають, що в національному кримінальному законодавстві повинна бути встановлена кримінальна відповідальність за замах на той чи інший злочин незалежно від ступеня його тяжкості. В такому випадку вбачається доцільним перелічити статті Особливої частини, що передбачають певні злочини, замах на які є кримінально караними, що є важливим з огляду на вимогу юридичної визначеності. </w:t>
      </w:r>
    </w:p>
    <w:p w:rsidR="0093733D" w:rsidRDefault="0093733D" w:rsidP="0093733D">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5. Кримінальна відповідальність за пособництво або підбурювання, а в окремих випадках – за вчинення злочину злочинною організацією (наприклад, рамочне рішення 2008/841/</w:t>
      </w:r>
      <w:r>
        <w:rPr>
          <w:rFonts w:ascii="Times New Roman" w:hAnsi="Times New Roman" w:cs="Times New Roman"/>
          <w:i/>
          <w:iCs/>
          <w:sz w:val="28"/>
          <w:szCs w:val="28"/>
          <w:lang w:val="en-US"/>
        </w:rPr>
        <w:t>JHA</w:t>
      </w:r>
      <w:r w:rsidRPr="00FE4EC9">
        <w:rPr>
          <w:rFonts w:ascii="Times New Roman" w:hAnsi="Times New Roman" w:cs="Times New Roman"/>
          <w:i/>
          <w:iCs/>
          <w:sz w:val="28"/>
          <w:szCs w:val="28"/>
        </w:rPr>
        <w:t>)</w:t>
      </w:r>
      <w:r>
        <w:rPr>
          <w:rFonts w:ascii="Times New Roman" w:hAnsi="Times New Roman" w:cs="Times New Roman"/>
          <w:i/>
          <w:iCs/>
          <w:sz w:val="28"/>
          <w:szCs w:val="28"/>
        </w:rPr>
        <w:t xml:space="preserve">. </w:t>
      </w:r>
      <w:r>
        <w:rPr>
          <w:rFonts w:ascii="Times New Roman" w:hAnsi="Times New Roman" w:cs="Times New Roman"/>
          <w:sz w:val="28"/>
          <w:szCs w:val="28"/>
        </w:rPr>
        <w:t xml:space="preserve">В </w:t>
      </w:r>
      <w:proofErr w:type="spellStart"/>
      <w:r>
        <w:rPr>
          <w:rFonts w:ascii="Times New Roman" w:hAnsi="Times New Roman" w:cs="Times New Roman"/>
          <w:sz w:val="28"/>
          <w:szCs w:val="28"/>
        </w:rPr>
        <w:t>проєкті</w:t>
      </w:r>
      <w:proofErr w:type="spellEnd"/>
      <w:r>
        <w:rPr>
          <w:rFonts w:ascii="Times New Roman" w:hAnsi="Times New Roman" w:cs="Times New Roman"/>
          <w:sz w:val="28"/>
          <w:szCs w:val="28"/>
        </w:rPr>
        <w:t xml:space="preserve"> КК формами співучасті у злочину визнається вчинення його у складі: 1) простої групи, 2) організованої групи чи 3) злочинної організації (ст.2.7.5.) і не існує будь-яких обмежень щодо кримінальної відповідальності співучасників. В той же час імплементація Директив щодо кримінально-правових засобів боротьбі з тероризмом потребувала </w:t>
      </w:r>
      <w:r>
        <w:rPr>
          <w:rFonts w:ascii="Times New Roman" w:hAnsi="Times New Roman" w:cs="Times New Roman"/>
          <w:sz w:val="28"/>
          <w:szCs w:val="28"/>
        </w:rPr>
        <w:lastRenderedPageBreak/>
        <w:t>переформатування поняття терористичної групи, яка наразі визначається як:  1) неструктурована терористична група, яка має ознаки простої групи, якщо вона створюється для негайного вчинення злочину проти безпеки суспільства від тероризму, і 2) структурована терористична група, яка має ознаки організованої групи або злочинної організації (ч.5 ст.2.7.6.).</w:t>
      </w:r>
    </w:p>
    <w:p w:rsidR="0093733D" w:rsidRDefault="0093733D" w:rsidP="0093733D">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6. Покарання щодо фізичних осіб. </w:t>
      </w:r>
      <w:r>
        <w:rPr>
          <w:rFonts w:ascii="Times New Roman" w:hAnsi="Times New Roman" w:cs="Times New Roman"/>
          <w:sz w:val="28"/>
          <w:szCs w:val="28"/>
        </w:rPr>
        <w:t xml:space="preserve">Багато Директив вимагають встановлення у КК мінімального строку ув’язнення (наприклад, чотири, п’ять або вісім років), що не відповідає закладеним у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КК концептуальним підходам, згідно з якими ступінь тяжкості злочину визначається з урахуванням виду шкоди, спричиненої об’єкту кримінального правопорушення, та ознак складу злочину, що змінюють ступінь його тяжкості (ч.1 ст.2.5.9.). Умисні злочини мають 9 ступенів тяжкості, а необережні злочини – 5 ступенів тяжкості (ч.2 ст.2.5.9.). За кожний вид злочину відповідної ступені тяжкості (від 1 до 9) встановлюється типова санкція (ст.3.2.5.). У випадку, коли Директива вимагає встановлення певної санкції, яка не співпадає з розміром типової санкції, необхідно корегувати положення статей 2.5.2 – 2.5.7.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КК. Ці статті передбачають види шкоди об’єкту кримінального правопорушення – істотну, значну, тяжку, особливо тяжку і виключно тяжку. Для адаптації положень Директиви необхідно привести ступінь тяжкості того злочину, який передбачений Директивою, у відповідність з розміром відповідної типової санкції, таким чином, щоб цей розмір узгоджувався із розміром санкції, передбаченої у Директиві. Інколи це потребує додаткових структурних змін в Загальній та Особливій частинах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КК.</w:t>
      </w:r>
    </w:p>
    <w:p w:rsidR="0093733D" w:rsidRDefault="0093733D" w:rsidP="0093733D">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7. Ознаки, які пом’якшують чи обтяжують покарання фізичної особи.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КК у Розділі 3.3 «Призначення покарання» передбачає перелік обставин, що пом’якшують покарання за злочин та кримінальний проступок (ст.3.3.2.), а також обставин, що обтяжують покарання за кримінальний проступок (ст.3.3.3.).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КК не передбачає переліку обставин, що обтяжують покарання за злочин, оскільки типові санкції передбачають відносно невелику судову </w:t>
      </w:r>
      <w:proofErr w:type="spellStart"/>
      <w:r>
        <w:rPr>
          <w:rFonts w:ascii="Times New Roman" w:hAnsi="Times New Roman" w:cs="Times New Roman"/>
          <w:sz w:val="28"/>
          <w:szCs w:val="28"/>
        </w:rPr>
        <w:t>дискрецію</w:t>
      </w:r>
      <w:proofErr w:type="spellEnd"/>
      <w:r>
        <w:rPr>
          <w:rFonts w:ascii="Times New Roman" w:hAnsi="Times New Roman" w:cs="Times New Roman"/>
          <w:sz w:val="28"/>
          <w:szCs w:val="28"/>
        </w:rPr>
        <w:t xml:space="preserve"> при призначенні покарання за  вчинений злочин. Крім того, суд призначає покарання у межах санкції статі з урахуванням особливості конкретного злочину, особи винного, кількості ознак, які підвищують ступінь тяжкості злочину, висновку щодо </w:t>
      </w:r>
      <w:r>
        <w:rPr>
          <w:rFonts w:ascii="Times New Roman" w:hAnsi="Times New Roman" w:cs="Times New Roman"/>
          <w:sz w:val="28"/>
          <w:szCs w:val="28"/>
        </w:rPr>
        <w:lastRenderedPageBreak/>
        <w:t xml:space="preserve">ризиків вчинення нового кримінального правопорушення та інших висновків досудової доповіді органів </w:t>
      </w:r>
      <w:proofErr w:type="spellStart"/>
      <w:r>
        <w:rPr>
          <w:rFonts w:ascii="Times New Roman" w:hAnsi="Times New Roman" w:cs="Times New Roman"/>
          <w:sz w:val="28"/>
          <w:szCs w:val="28"/>
        </w:rPr>
        <w:t>пробації</w:t>
      </w:r>
      <w:proofErr w:type="spellEnd"/>
      <w:r>
        <w:rPr>
          <w:rFonts w:ascii="Times New Roman" w:hAnsi="Times New Roman" w:cs="Times New Roman"/>
          <w:sz w:val="28"/>
          <w:szCs w:val="28"/>
        </w:rPr>
        <w:t xml:space="preserve">, інші положення Загальної частини КК (ч.2 ст.3.3.1). У випадках, якщо Директива вимагатиме передбачення таких обставин, які наразі не визначені у зазначених статтях, то необхідно або доповнювати наведені переліки, або (відносно злочинів) передбачати такі ознаки, які знижують або підвищують ступінь тяжкості певного виду злочину, що відповідно потягне за собою встановлення зниженою у розмірі чи підвищеної типової санкції за такий вид злочину. </w:t>
      </w:r>
    </w:p>
    <w:p w:rsidR="0093733D" w:rsidRDefault="0093733D" w:rsidP="0093733D">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8. Інші, крім покарання, засоби, що застосовуються до фізичної особи (відшкодування шкоди, засоби безпеки тощо).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КК передбачає, що до фізичних осіб – суб’єктів певних злочинів застосовуються такі засоби безпеки як обмежувальні засоби (певні заборони, обмеження права або покладення обов’язків) та оприлюднення інформації про засудження особи (ст.3.6.5, 3.6.6), реституція або компенсація (ст.3.7.1), а також судимість (Розділ 3.9), тобто правовий статус, в якому перебуває особа, засуджена за вчинення кримінального правопорушення, з дня набрання законної сили обвинувальним </w:t>
      </w:r>
      <w:proofErr w:type="spellStart"/>
      <w:r>
        <w:rPr>
          <w:rFonts w:ascii="Times New Roman" w:hAnsi="Times New Roman" w:cs="Times New Roman"/>
          <w:sz w:val="28"/>
          <w:szCs w:val="28"/>
        </w:rPr>
        <w:t>вироком</w:t>
      </w:r>
      <w:proofErr w:type="spellEnd"/>
      <w:r>
        <w:rPr>
          <w:rFonts w:ascii="Times New Roman" w:hAnsi="Times New Roman" w:cs="Times New Roman"/>
          <w:sz w:val="28"/>
          <w:szCs w:val="28"/>
        </w:rPr>
        <w:t xml:space="preserve"> суду і до зняття судимості. Судимість має правове значення у випадках, передбаченим цим Кодексом та іншими законами України (ст.3.9.1).</w:t>
      </w:r>
    </w:p>
    <w:p w:rsidR="0093733D" w:rsidRDefault="0093733D" w:rsidP="0093733D">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9. Підстави застосування кримінально-правових засобів до юридичних осіб. </w:t>
      </w:r>
      <w:r>
        <w:rPr>
          <w:rFonts w:ascii="Times New Roman" w:hAnsi="Times New Roman" w:cs="Times New Roman"/>
          <w:sz w:val="28"/>
          <w:szCs w:val="28"/>
        </w:rPr>
        <w:t xml:space="preserve">Директиви не вимагають визнання юридичної особи суб’єктом кримінального правопорушення, в той же час в них передбачені вимоги щодо підстав юридичної відповідальності, яка була б адекватною за своєю суворістю кримінально-правовим засобам. Згідно ст.3.11.2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КК підставою для застосування до юридичної особи кримінально-правових засобів є вчинення: 1) від імені юридичної особи та її інтересах або в інтересах її асоційованої особи уповноваженою особою юридичної особи будь-якого передбаченого цим Кодексом умисного злочину 3-9 ступеня тяжкості;  2) внаслідок неналежного контролю з боку уповноваженої особи юридичної особи підпорядкованою (підконтрольною) їй особою будь-якого із злочинів передбачених у п.2 ч.1 ст.3.11.2. Уповноваженою особою юридичної особи є суб’єкт злочину, який відповідно до закону, установчий документів юридичної особи, спеціального повноваження, договору чи рішення суду 1) діючи </w:t>
      </w:r>
      <w:r>
        <w:rPr>
          <w:rFonts w:ascii="Times New Roman" w:hAnsi="Times New Roman" w:cs="Times New Roman"/>
          <w:sz w:val="28"/>
          <w:szCs w:val="28"/>
        </w:rPr>
        <w:lastRenderedPageBreak/>
        <w:t xml:space="preserve">індивідуально чи у складі колегіального органу юридичної особи, обіймає керівну посаду, представляє юридичну особу чи приймає рішення від її імені, 2) здійснює контроль у межах цієї юридичної особи або 3) є кінцевим </w:t>
      </w:r>
      <w:proofErr w:type="spellStart"/>
      <w:r>
        <w:rPr>
          <w:rFonts w:ascii="Times New Roman" w:hAnsi="Times New Roman" w:cs="Times New Roman"/>
          <w:sz w:val="28"/>
          <w:szCs w:val="28"/>
        </w:rPr>
        <w:t>бенефіциарним</w:t>
      </w:r>
      <w:proofErr w:type="spellEnd"/>
      <w:r>
        <w:rPr>
          <w:rFonts w:ascii="Times New Roman" w:hAnsi="Times New Roman" w:cs="Times New Roman"/>
          <w:sz w:val="28"/>
          <w:szCs w:val="28"/>
        </w:rPr>
        <w:t xml:space="preserve"> власником (контролером) цієї юридичної особи (ч.2 ст.3.11.2). Злочин визнається вчиненим в інтересах юридичної особи, якщо цей злочин: 1) створив умови для отримання юридичною особою неправомірної вигоди або призвів до набуття такої вигоди, 2) створив умови для реалізації нематеріального інтересу юридичної особи або призвів до його реалізації або 3) був спрямований на її ухилення від юридичної відповідальності (ч.3 ст.3.11.2).</w:t>
      </w:r>
    </w:p>
    <w:p w:rsidR="0093733D" w:rsidRDefault="0093733D" w:rsidP="0093733D">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10) Санкції та інші кримінально-правові засоби до юридичних осіб.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КК передбачає стягнення та інші кримінально-правові засоби, що застосовуються до юридичних осіб. Видами стягнення є штраф та ліквідація юридичної особи з конфіскацією її майна. Додатково до штрафу або замість нього до юридичної особи суд може застосувати інші кримінально-правові засоби, а саме: 1) обмеження підтримки за рахунок публічних фінансів і 2) обмеження здійснення певної діяльності (ст.3.11.3). Юридична особа підлягає ліквідації у зв’язку із вчиненням її уповноваженою особою від імені юридичної особи та в її інтересах або в інтересах її асоційованої особи будь-якого із передбачених цим Кодексом умисного злочину проти: 1) фінансів, 2) безпеки суспільства від діяльності злочинних організацій, 3) безпеки суспільства від тероризму, 4) доброчесного виконання службових повноважень у публічній сфері та 5) державної безпеки. У разі ліквідації юридичної особи застосовується конфіскація її майна (ст.3.11.5).</w:t>
      </w:r>
    </w:p>
    <w:p w:rsidR="0093733D" w:rsidRDefault="0093733D" w:rsidP="009373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Положення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КК щодо санкцій та інших кримінально-правових засобів, що застосовуються до юридичних осіб, в цілому відповідають вимогам Директив.</w:t>
      </w:r>
    </w:p>
    <w:p w:rsidR="0093733D" w:rsidRDefault="0093733D" w:rsidP="0093733D">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11. Підстави конфіскації майна фізичної особи. </w:t>
      </w:r>
      <w:r>
        <w:rPr>
          <w:rFonts w:ascii="Times New Roman" w:hAnsi="Times New Roman" w:cs="Times New Roman"/>
          <w:sz w:val="28"/>
          <w:szCs w:val="28"/>
        </w:rPr>
        <w:t xml:space="preserve">Конфіскація майна полягає у примусовому безоплатному вилучені грошей, майнових прав та іншого майна, яке належить засудженій особі на праві власності, до Державного фонду відшкодування шкоди потерпілим. Конфіскація шкоди застосовується щодо майна, яке: 1) є предметом кримінального правопорушення або доходам </w:t>
      </w:r>
      <w:proofErr w:type="spellStart"/>
      <w:r>
        <w:rPr>
          <w:rFonts w:ascii="Times New Roman" w:hAnsi="Times New Roman" w:cs="Times New Roman"/>
          <w:sz w:val="28"/>
          <w:szCs w:val="28"/>
        </w:rPr>
        <w:t>віж</w:t>
      </w:r>
      <w:proofErr w:type="spellEnd"/>
      <w:r>
        <w:rPr>
          <w:rFonts w:ascii="Times New Roman" w:hAnsi="Times New Roman" w:cs="Times New Roman"/>
          <w:sz w:val="28"/>
          <w:szCs w:val="28"/>
        </w:rPr>
        <w:t xml:space="preserve"> такого предмета, 2) підшукане, пристосоване, використане як знаряддя або засіб вчинення </w:t>
      </w:r>
      <w:r>
        <w:rPr>
          <w:rFonts w:ascii="Times New Roman" w:hAnsi="Times New Roman" w:cs="Times New Roman"/>
          <w:sz w:val="28"/>
          <w:szCs w:val="28"/>
        </w:rPr>
        <w:lastRenderedPageBreak/>
        <w:t>кримінального правопорушення чи для схиляння особи до його вчинення, 3) використовувалося для фінансування чи матеріального забезпечення вчинення кримінального правопорушення, або 4) використовувалося як винагорода за вчинення кримінального правопорушення. Конфіскація майна застосовується у випадках засудження особи за умисне кримінальне правопорушення як з призначенням покарання, так і зі звільненням від покарання (ст.3.8.1).</w:t>
      </w:r>
    </w:p>
    <w:p w:rsidR="0093733D" w:rsidRDefault="0093733D" w:rsidP="0093733D">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12. Підстави звільнення від покарання </w:t>
      </w:r>
      <w:r w:rsidRPr="00BF3D58">
        <w:rPr>
          <w:rFonts w:ascii="Times New Roman" w:hAnsi="Times New Roman" w:cs="Times New Roman"/>
          <w:i/>
          <w:iCs/>
          <w:sz w:val="28"/>
          <w:szCs w:val="28"/>
        </w:rPr>
        <w:t xml:space="preserve">та кримінального переслідування (кримінальної відповідальності) (рамкове </w:t>
      </w:r>
      <w:r>
        <w:rPr>
          <w:rFonts w:ascii="Times New Roman" w:hAnsi="Times New Roman" w:cs="Times New Roman"/>
          <w:i/>
          <w:iCs/>
          <w:sz w:val="28"/>
          <w:szCs w:val="28"/>
        </w:rPr>
        <w:t>р</w:t>
      </w:r>
      <w:r w:rsidRPr="00BF3D58">
        <w:rPr>
          <w:rFonts w:ascii="Times New Roman" w:hAnsi="Times New Roman" w:cs="Times New Roman"/>
          <w:i/>
          <w:iCs/>
          <w:sz w:val="28"/>
          <w:szCs w:val="28"/>
        </w:rPr>
        <w:t>і</w:t>
      </w:r>
      <w:r>
        <w:rPr>
          <w:rFonts w:ascii="Times New Roman" w:hAnsi="Times New Roman" w:cs="Times New Roman"/>
          <w:i/>
          <w:iCs/>
          <w:sz w:val="28"/>
          <w:szCs w:val="28"/>
        </w:rPr>
        <w:t>шення 2008/841/</w:t>
      </w:r>
      <w:r>
        <w:rPr>
          <w:rFonts w:ascii="Times New Roman" w:hAnsi="Times New Roman" w:cs="Times New Roman"/>
          <w:i/>
          <w:iCs/>
          <w:sz w:val="28"/>
          <w:szCs w:val="28"/>
          <w:lang w:val="en-US"/>
        </w:rPr>
        <w:t>JHA</w:t>
      </w:r>
      <w:r>
        <w:rPr>
          <w:rFonts w:ascii="Times New Roman" w:hAnsi="Times New Roman" w:cs="Times New Roman"/>
          <w:i/>
          <w:iCs/>
          <w:sz w:val="28"/>
          <w:szCs w:val="28"/>
        </w:rPr>
        <w:t xml:space="preserve">. </w:t>
      </w:r>
      <w:proofErr w:type="spellStart"/>
      <w:r w:rsidRPr="00BF3D58">
        <w:rPr>
          <w:rFonts w:ascii="Times New Roman" w:hAnsi="Times New Roman" w:cs="Times New Roman"/>
          <w:sz w:val="28"/>
          <w:szCs w:val="28"/>
        </w:rPr>
        <w:t>Проєкт</w:t>
      </w:r>
      <w:proofErr w:type="spellEnd"/>
      <w:r w:rsidRPr="00BF3D58">
        <w:rPr>
          <w:rFonts w:ascii="Times New Roman" w:hAnsi="Times New Roman" w:cs="Times New Roman"/>
          <w:sz w:val="28"/>
          <w:szCs w:val="28"/>
        </w:rPr>
        <w:t xml:space="preserve"> </w:t>
      </w:r>
      <w:r>
        <w:rPr>
          <w:rFonts w:ascii="Times New Roman" w:hAnsi="Times New Roman" w:cs="Times New Roman"/>
          <w:sz w:val="28"/>
          <w:szCs w:val="28"/>
        </w:rPr>
        <w:t xml:space="preserve">КК передбачає п’ять видів звільнення від покарання, а саме: 1) не призначення покарання, 2) не виконання призначеного покарання, 3) відстрочення виконання призначеного покарання, 4) зупинення виконання покарання під умовою, 5) припинення виконання покарання (ч.1 ст.3.4.1). Деякі Директиви передбачають в якості одного із елементів, наприклад, підстави </w:t>
      </w:r>
      <w:proofErr w:type="spellStart"/>
      <w:r>
        <w:rPr>
          <w:rFonts w:ascii="Times New Roman" w:hAnsi="Times New Roman" w:cs="Times New Roman"/>
          <w:sz w:val="28"/>
          <w:szCs w:val="28"/>
        </w:rPr>
        <w:t>непризначення</w:t>
      </w:r>
      <w:proofErr w:type="spellEnd"/>
      <w:r>
        <w:rPr>
          <w:rFonts w:ascii="Times New Roman" w:hAnsi="Times New Roman" w:cs="Times New Roman"/>
          <w:sz w:val="28"/>
          <w:szCs w:val="28"/>
        </w:rPr>
        <w:t xml:space="preserve"> покарання певний вид позитивної поведінки особи після вчинення злочину. У зв’язку з цим в ч.2 ст.3.4.2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КК передбачається, наприклад, така складова підстави </w:t>
      </w:r>
      <w:proofErr w:type="spellStart"/>
      <w:r>
        <w:rPr>
          <w:rFonts w:ascii="Times New Roman" w:hAnsi="Times New Roman" w:cs="Times New Roman"/>
          <w:sz w:val="28"/>
          <w:szCs w:val="28"/>
        </w:rPr>
        <w:t>непризначення</w:t>
      </w:r>
      <w:proofErr w:type="spellEnd"/>
      <w:r>
        <w:rPr>
          <w:rFonts w:ascii="Times New Roman" w:hAnsi="Times New Roman" w:cs="Times New Roman"/>
          <w:sz w:val="28"/>
          <w:szCs w:val="28"/>
        </w:rPr>
        <w:t xml:space="preserve"> покарання, як добровільне повідомлення прокурору чи органу правопорядку всієї відомої особі інформації про діяльність організованої групи, злочинної організації чи збройного формування, власну участь у ній (ньому) чи сприяння їй (йому), яку прокурор чи органи правопорядку інакше не змогли б отримати, а також сприяння розкриттю діяльності такої групи, організації чи формування або запобігання вчиненню ними нового злочину. Видається, що в цілому передбачені у </w:t>
      </w:r>
      <w:proofErr w:type="spellStart"/>
      <w:r>
        <w:rPr>
          <w:rFonts w:ascii="Times New Roman" w:hAnsi="Times New Roman" w:cs="Times New Roman"/>
          <w:sz w:val="28"/>
          <w:szCs w:val="28"/>
        </w:rPr>
        <w:t>проєкті</w:t>
      </w:r>
      <w:proofErr w:type="spellEnd"/>
      <w:r>
        <w:rPr>
          <w:rFonts w:ascii="Times New Roman" w:hAnsi="Times New Roman" w:cs="Times New Roman"/>
          <w:sz w:val="28"/>
          <w:szCs w:val="28"/>
        </w:rPr>
        <w:t xml:space="preserve"> КК п’ять видів звільнення від покарання дають можливість адекватно </w:t>
      </w:r>
      <w:proofErr w:type="spellStart"/>
      <w:r>
        <w:rPr>
          <w:rFonts w:ascii="Times New Roman" w:hAnsi="Times New Roman" w:cs="Times New Roman"/>
          <w:sz w:val="28"/>
          <w:szCs w:val="28"/>
        </w:rPr>
        <w:t>імплементувати</w:t>
      </w:r>
      <w:proofErr w:type="spellEnd"/>
      <w:r>
        <w:rPr>
          <w:rFonts w:ascii="Times New Roman" w:hAnsi="Times New Roman" w:cs="Times New Roman"/>
          <w:sz w:val="28"/>
          <w:szCs w:val="28"/>
        </w:rPr>
        <w:t xml:space="preserve"> відповідні положення Директив.</w:t>
      </w:r>
    </w:p>
    <w:p w:rsidR="0093733D" w:rsidRDefault="0093733D" w:rsidP="0093733D">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13. Питання юрисдикції. </w:t>
      </w:r>
      <w:r>
        <w:rPr>
          <w:rFonts w:ascii="Times New Roman" w:hAnsi="Times New Roman" w:cs="Times New Roman"/>
          <w:sz w:val="28"/>
          <w:szCs w:val="28"/>
        </w:rPr>
        <w:t xml:space="preserve">Деякі Директиви стимулюють розробників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КК до розширення сфери універсального принципу дій КК у просторі. Так, відповідно до Директиви 2017/541 у ч.2 ст. 1.4.5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КК передбачено, що цей Кодекс підлягає застосуванню до іноземця або особи без громадянства, що постійно не проживає в Україні, якщо вони вчинили за межами України, зокрема, злочин проти інституції, офісу чи агентства Європейського Союзу, проти безпеки суспільства від тероризму на користь юридичної особи, створеної на території України, або злочин, передбачений певними статтями цього Кодексу. Точно так, </w:t>
      </w:r>
      <w:r>
        <w:rPr>
          <w:rFonts w:ascii="Times New Roman" w:hAnsi="Times New Roman" w:cs="Times New Roman"/>
          <w:sz w:val="28"/>
          <w:szCs w:val="28"/>
        </w:rPr>
        <w:lastRenderedPageBreak/>
        <w:t xml:space="preserve">відповідно до ст.9 рамкового рішення 2008/913 «Про боротьбу з окремими формами та проявами расизму і ксенофобії кримінально-правовими засобами» у ч.4 ст.1.4.6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КК передбачається: «У випадках, передбачених міжнародним договором України, цей Кодекс застосовується до особи, яка вчинила передбачене ним діяння з використанням засобу інформації, інформаційної системи чи мережі Інтернет, незалежно від того, чи присутня ця особа фізично на території України та незалежно від місця реєстрації засобу масової інформації або інформаційної системи». Аналіз конкретних Директив вимагає ретельного дослідження питання відносно визначення кримінально-правової юрисдикції України щодо певних категорій злочинів, вчинених за межами України. </w:t>
      </w:r>
    </w:p>
    <w:p w:rsidR="0093733D" w:rsidRDefault="0093733D" w:rsidP="0093733D">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14. Особливості застосування принципу </w:t>
      </w:r>
      <w:r>
        <w:rPr>
          <w:rFonts w:ascii="Times New Roman" w:hAnsi="Times New Roman" w:cs="Times New Roman"/>
          <w:i/>
          <w:iCs/>
          <w:sz w:val="28"/>
          <w:szCs w:val="28"/>
          <w:lang w:val="en-US"/>
        </w:rPr>
        <w:t>ne</w:t>
      </w:r>
      <w:r w:rsidRPr="009E314F">
        <w:rPr>
          <w:rFonts w:ascii="Times New Roman" w:hAnsi="Times New Roman" w:cs="Times New Roman"/>
          <w:i/>
          <w:iCs/>
          <w:sz w:val="28"/>
          <w:szCs w:val="28"/>
          <w:lang w:val="ru-RU"/>
        </w:rPr>
        <w:t xml:space="preserve"> </w:t>
      </w:r>
      <w:r>
        <w:rPr>
          <w:rFonts w:ascii="Times New Roman" w:hAnsi="Times New Roman" w:cs="Times New Roman"/>
          <w:i/>
          <w:iCs/>
          <w:sz w:val="28"/>
          <w:szCs w:val="28"/>
          <w:lang w:val="en-US"/>
        </w:rPr>
        <w:t>bis</w:t>
      </w:r>
      <w:r w:rsidRPr="009E314F">
        <w:rPr>
          <w:rFonts w:ascii="Times New Roman" w:hAnsi="Times New Roman" w:cs="Times New Roman"/>
          <w:i/>
          <w:iCs/>
          <w:sz w:val="28"/>
          <w:szCs w:val="28"/>
          <w:lang w:val="ru-RU"/>
        </w:rPr>
        <w:t xml:space="preserve"> </w:t>
      </w:r>
      <w:r>
        <w:rPr>
          <w:rFonts w:ascii="Times New Roman" w:hAnsi="Times New Roman" w:cs="Times New Roman"/>
          <w:i/>
          <w:iCs/>
          <w:sz w:val="28"/>
          <w:szCs w:val="28"/>
          <w:lang w:val="en-US"/>
        </w:rPr>
        <w:t>in</w:t>
      </w:r>
      <w:r w:rsidRPr="009E314F">
        <w:rPr>
          <w:rFonts w:ascii="Times New Roman" w:hAnsi="Times New Roman" w:cs="Times New Roman"/>
          <w:i/>
          <w:iCs/>
          <w:sz w:val="28"/>
          <w:szCs w:val="28"/>
          <w:lang w:val="ru-RU"/>
        </w:rPr>
        <w:t xml:space="preserve"> </w:t>
      </w:r>
      <w:r>
        <w:rPr>
          <w:rFonts w:ascii="Times New Roman" w:hAnsi="Times New Roman" w:cs="Times New Roman"/>
          <w:i/>
          <w:iCs/>
          <w:sz w:val="28"/>
          <w:szCs w:val="28"/>
          <w:lang w:val="en-US"/>
        </w:rPr>
        <w:t>idem</w:t>
      </w:r>
      <w:r>
        <w:rPr>
          <w:rFonts w:ascii="Times New Roman" w:hAnsi="Times New Roman" w:cs="Times New Roman"/>
          <w:i/>
          <w:iCs/>
          <w:sz w:val="28"/>
          <w:szCs w:val="28"/>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КК передбачає принцип однократності застосування кримінально-правових засобів: «Особа не може бути піддана кримінально-правовим засобам за цим Кодексом більше одного разу за те саме кримінальне правопорушення» (ч.1 ст.1.2.7). В той же час «не вважається порушення принципу однократності застосування судом України кримінально-правових засобів до особи, засудженої іноземним судом за те саме кримінальне правопорушення» (ч.2 ст.1.2.7). </w:t>
      </w:r>
    </w:p>
    <w:p w:rsidR="0093733D" w:rsidRDefault="0093733D" w:rsidP="009373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Видається, якщо в Директиві буде передбачено обмеження в застосуванні цього принципу, то таке обмеження можливо </w:t>
      </w:r>
      <w:proofErr w:type="spellStart"/>
      <w:r>
        <w:rPr>
          <w:rFonts w:ascii="Times New Roman" w:hAnsi="Times New Roman" w:cs="Times New Roman"/>
          <w:sz w:val="28"/>
          <w:szCs w:val="28"/>
        </w:rPr>
        <w:t>імплементувати</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КК шляхом передбачення певного виключення із зазначеного правила. </w:t>
      </w:r>
    </w:p>
    <w:p w:rsidR="0093733D" w:rsidRDefault="0093733D" w:rsidP="0093733D">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15. Строки давності, переслідування за вчинений злочин. </w:t>
      </w:r>
      <w:r>
        <w:rPr>
          <w:rFonts w:ascii="Times New Roman" w:hAnsi="Times New Roman" w:cs="Times New Roman"/>
          <w:sz w:val="28"/>
          <w:szCs w:val="28"/>
        </w:rPr>
        <w:t>(</w:t>
      </w:r>
      <w:bookmarkStart w:id="0" w:name="_Hlk120406254"/>
      <w:r>
        <w:rPr>
          <w:rFonts w:ascii="Times New Roman" w:hAnsi="Times New Roman" w:cs="Times New Roman"/>
          <w:sz w:val="28"/>
          <w:szCs w:val="28"/>
        </w:rPr>
        <w:t>Директива (Є4) 2017/137</w:t>
      </w:r>
      <w:bookmarkEnd w:id="0"/>
      <w:r>
        <w:rPr>
          <w:rFonts w:ascii="Times New Roman" w:hAnsi="Times New Roman" w:cs="Times New Roman"/>
          <w:sz w:val="28"/>
          <w:szCs w:val="28"/>
        </w:rPr>
        <w:t>.</w:t>
      </w:r>
    </w:p>
    <w:p w:rsidR="0093733D" w:rsidRDefault="0093733D" w:rsidP="009373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Стаття 12 зазначеної Директиви передбачає, що держави-члени вживають необхідні заходи, щоб передбачити такий строк давності, який уможливлює проведення розслідування, притягнення до відповідальності, здійснення судового провадження та винесення судового рішення щодо злочинів, передбачених у цій Директиві, протягом достатнього часу після їх вчинення задля ефективної боротьби з такими злочинами. Так, для злочинів, за які передбачено максимальне покарання у вигляді позбавлення волі щонайменше на чотири строки, строк давності повинен бути встановлений щонайменше п’ять років з моменту вчинення злочину, а у виключних випадках не менше трьох років, але при цьому має бути передбачена </w:t>
      </w:r>
      <w:r>
        <w:rPr>
          <w:rFonts w:ascii="Times New Roman" w:hAnsi="Times New Roman" w:cs="Times New Roman"/>
          <w:sz w:val="28"/>
          <w:szCs w:val="28"/>
        </w:rPr>
        <w:lastRenderedPageBreak/>
        <w:t xml:space="preserve">можливість переривання чи призупинення цього строку. У </w:t>
      </w:r>
      <w:proofErr w:type="spellStart"/>
      <w:r>
        <w:rPr>
          <w:rFonts w:ascii="Times New Roman" w:hAnsi="Times New Roman" w:cs="Times New Roman"/>
          <w:sz w:val="28"/>
          <w:szCs w:val="28"/>
        </w:rPr>
        <w:t>проєкті</w:t>
      </w:r>
      <w:proofErr w:type="spellEnd"/>
      <w:r>
        <w:rPr>
          <w:rFonts w:ascii="Times New Roman" w:hAnsi="Times New Roman" w:cs="Times New Roman"/>
          <w:sz w:val="28"/>
          <w:szCs w:val="28"/>
        </w:rPr>
        <w:t xml:space="preserve"> КК встановлено, що не призначається покарання особі, якщо з часу вчинення нею кримінального правопорушення (його закінчення або припинення) і до дня набрання обвинувальним </w:t>
      </w:r>
      <w:proofErr w:type="spellStart"/>
      <w:r>
        <w:rPr>
          <w:rFonts w:ascii="Times New Roman" w:hAnsi="Times New Roman" w:cs="Times New Roman"/>
          <w:sz w:val="28"/>
          <w:szCs w:val="28"/>
        </w:rPr>
        <w:t>вироком</w:t>
      </w:r>
      <w:proofErr w:type="spellEnd"/>
      <w:r>
        <w:rPr>
          <w:rFonts w:ascii="Times New Roman" w:hAnsi="Times New Roman" w:cs="Times New Roman"/>
          <w:sz w:val="28"/>
          <w:szCs w:val="28"/>
        </w:rPr>
        <w:t xml:space="preserve"> суду законної сили минув строк, який дорівнює максимальному строку ув’язнення за відповідний злочин у разі вчинення злочину 1-8 ступеня тяжкості (ч.1 ст.3.4.3). Частини п’ята і шоста цієї статті передбачають умови переривання та зупинення перебігу строків давності. </w:t>
      </w:r>
    </w:p>
    <w:p w:rsidR="0093733D" w:rsidRDefault="0093733D" w:rsidP="009373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Директива також передбачає необхідність заходів для забезпечення приведення у виконання покарання у вигляді позбавлення волі у випадку злочину, вчинення якого передбачає максимальну санкцію щонайменше на 4 роки. Згідно із ч.1 ст.3.4.6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КК призначене покарання не виконується, якщо з дня набрання обрання обвинувальним </w:t>
      </w:r>
      <w:proofErr w:type="spellStart"/>
      <w:r>
        <w:rPr>
          <w:rFonts w:ascii="Times New Roman" w:hAnsi="Times New Roman" w:cs="Times New Roman"/>
          <w:sz w:val="28"/>
          <w:szCs w:val="28"/>
        </w:rPr>
        <w:t>вироком</w:t>
      </w:r>
      <w:proofErr w:type="spellEnd"/>
      <w:r>
        <w:rPr>
          <w:rFonts w:ascii="Times New Roman" w:hAnsi="Times New Roman" w:cs="Times New Roman"/>
          <w:sz w:val="28"/>
          <w:szCs w:val="28"/>
        </w:rPr>
        <w:t xml:space="preserve"> законної сили його не було виконано у такі строки: 1) 10 років – у разі призначення покарання у вчиненні злочинів 1-4 ступенів тяжкості і 2) 20 років – у разі призначення покарання за вчинення злочинів 5-8 ступенів тяжкості. Частини 4-7 цієї статті передбачають правила зупинення і переривання перебігу давності виконання обвинувального </w:t>
      </w:r>
      <w:proofErr w:type="spellStart"/>
      <w:r>
        <w:rPr>
          <w:rFonts w:ascii="Times New Roman" w:hAnsi="Times New Roman" w:cs="Times New Roman"/>
          <w:sz w:val="28"/>
          <w:szCs w:val="28"/>
        </w:rPr>
        <w:t>вироку</w:t>
      </w:r>
      <w:proofErr w:type="spellEnd"/>
      <w:r>
        <w:rPr>
          <w:rFonts w:ascii="Times New Roman" w:hAnsi="Times New Roman" w:cs="Times New Roman"/>
          <w:sz w:val="28"/>
          <w:szCs w:val="28"/>
        </w:rPr>
        <w:t xml:space="preserve"> суду.</w:t>
      </w:r>
    </w:p>
    <w:p w:rsidR="0093733D" w:rsidRPr="009E314F" w:rsidRDefault="0093733D" w:rsidP="0093733D">
      <w:pPr>
        <w:spacing w:after="0" w:line="360" w:lineRule="auto"/>
        <w:ind w:firstLine="709"/>
        <w:jc w:val="both"/>
        <w:rPr>
          <w:rFonts w:ascii="Times New Roman" w:hAnsi="Times New Roman" w:cs="Times New Roman"/>
          <w:sz w:val="28"/>
          <w:szCs w:val="28"/>
        </w:rPr>
      </w:pPr>
      <w:r w:rsidRPr="009E314F">
        <w:rPr>
          <w:rFonts w:ascii="Times New Roman" w:hAnsi="Times New Roman" w:cs="Times New Roman"/>
          <w:i/>
          <w:iCs/>
          <w:sz w:val="28"/>
          <w:szCs w:val="28"/>
        </w:rPr>
        <w:t xml:space="preserve">16. </w:t>
      </w:r>
      <w:r>
        <w:rPr>
          <w:rFonts w:ascii="Times New Roman" w:hAnsi="Times New Roman" w:cs="Times New Roman"/>
          <w:i/>
          <w:iCs/>
          <w:sz w:val="28"/>
          <w:szCs w:val="28"/>
        </w:rPr>
        <w:t xml:space="preserve">Особливості та строки імплементації Директиви ЄС. </w:t>
      </w:r>
      <w:r>
        <w:rPr>
          <w:rFonts w:ascii="Times New Roman" w:hAnsi="Times New Roman" w:cs="Times New Roman"/>
          <w:sz w:val="28"/>
          <w:szCs w:val="28"/>
        </w:rPr>
        <w:t xml:space="preserve">Звичайно, що такі особливості та строки визначаються угодами між Україною та органами ЄС, що потребує ретельної підготовки такої імплементації та безумовного виконання узгоджених строків. Як зазначала хорватська колега </w:t>
      </w:r>
      <w:proofErr w:type="spellStart"/>
      <w:r>
        <w:rPr>
          <w:rFonts w:ascii="Times New Roman" w:hAnsi="Times New Roman" w:cs="Times New Roman"/>
          <w:sz w:val="28"/>
          <w:szCs w:val="28"/>
        </w:rPr>
        <w:t>Сунцана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Роксандіч</w:t>
      </w:r>
      <w:proofErr w:type="spellEnd"/>
      <w:r>
        <w:rPr>
          <w:rFonts w:ascii="Times New Roman" w:hAnsi="Times New Roman" w:cs="Times New Roman"/>
          <w:sz w:val="28"/>
          <w:szCs w:val="28"/>
        </w:rPr>
        <w:t xml:space="preserve"> на УІ Міжнародному Харківському юридичному форумі, в Хорватії шість разів вносилися зміни до КК (останній раз у 2019 році), викликані необхідністю адаптації чинного КК Хорватії до вимог Директив ЄС. Іноземні колеги країн, що нещодавно стали членами ЄС, зазначають, що робота щодо адаптації національного кримінального законодавства до матеріального кримінального права ЄС є достатньо копіткою, потребує постійних зав’язків з відповідними органами ЄС, з членами делегацій України, які беруть участь у перемовинах з ЄС, а також врахування досвіду країн, що до яких здійснювався моніторинг Єврокомісією відносно адаптації ними свого національного кримінального законодавства до Директив ЄС, результати якого є в публічному просторі, а також рішень з питань кримінального права Суду ЄС, особливо з 2009 року.</w:t>
      </w:r>
    </w:p>
    <w:p w:rsidR="0093733D" w:rsidRDefault="0093733D" w:rsidP="009373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Звичайно, конкретна Директива, яка підлягає імплементації може мати свої особливості, однак наведені вище 16 позицій, які сформульовані ні підставі аналізу Директив, мають враховуватися як розробниками </w:t>
      </w:r>
      <w:proofErr w:type="spellStart"/>
      <w:r>
        <w:rPr>
          <w:rFonts w:ascii="Times New Roman" w:hAnsi="Times New Roman" w:cs="Times New Roman"/>
          <w:sz w:val="28"/>
          <w:szCs w:val="28"/>
        </w:rPr>
        <w:t>проєку</w:t>
      </w:r>
      <w:proofErr w:type="spellEnd"/>
      <w:r>
        <w:rPr>
          <w:rFonts w:ascii="Times New Roman" w:hAnsi="Times New Roman" w:cs="Times New Roman"/>
          <w:sz w:val="28"/>
          <w:szCs w:val="28"/>
        </w:rPr>
        <w:t xml:space="preserve"> КК, так і авторами пропозицій щодо внесення змін та доповнень до чинного КК у зв’язку із виконанням зобов’язань України як кандидата у члени ЄС.</w:t>
      </w:r>
    </w:p>
    <w:p w:rsidR="0093733D" w:rsidRDefault="0093733D" w:rsidP="009373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Нарешті, остання група викликів – це  виклики повоєнної України, відповіді на які вже зараз треба передбачити як в чинному КК, так і у </w:t>
      </w:r>
      <w:proofErr w:type="spellStart"/>
      <w:r>
        <w:rPr>
          <w:rFonts w:ascii="Times New Roman" w:hAnsi="Times New Roman" w:cs="Times New Roman"/>
          <w:sz w:val="28"/>
          <w:szCs w:val="28"/>
        </w:rPr>
        <w:t>проєкті</w:t>
      </w:r>
      <w:proofErr w:type="spellEnd"/>
      <w:r>
        <w:rPr>
          <w:rFonts w:ascii="Times New Roman" w:hAnsi="Times New Roman" w:cs="Times New Roman"/>
          <w:sz w:val="28"/>
          <w:szCs w:val="28"/>
        </w:rPr>
        <w:t xml:space="preserve"> нового КК. Йдеться про </w:t>
      </w:r>
      <w:r w:rsidRPr="00997554">
        <w:rPr>
          <w:rFonts w:ascii="Times New Roman" w:hAnsi="Times New Roman" w:cs="Times New Roman"/>
          <w:sz w:val="28"/>
          <w:szCs w:val="28"/>
        </w:rPr>
        <w:t>широкомасштабну програму відновлення України, виконання якої передбачає євроінтеграційний курс і створення привабливого бізнес середовища для приватних інвестицій</w:t>
      </w:r>
      <w:r>
        <w:rPr>
          <w:rFonts w:ascii="Times New Roman" w:hAnsi="Times New Roman" w:cs="Times New Roman"/>
          <w:sz w:val="28"/>
          <w:szCs w:val="28"/>
        </w:rPr>
        <w:t xml:space="preserve">. </w:t>
      </w:r>
    </w:p>
    <w:p w:rsidR="0093733D" w:rsidRDefault="0093733D" w:rsidP="009373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Національна рада з відновлення України, що буда створена при Президентові України, презентувала план відновлення України, основними цілями якої є: 1) забезпечення стійкості вітчизняної економіки під час війни; 2) підготовка до швидкого відновлення відразу після війни і 3) закладання основи для довгострокової модернізації та зростання України. Реалізація Плану відновлення потребує більш 75 </w:t>
      </w:r>
      <w:proofErr w:type="spellStart"/>
      <w:r>
        <w:rPr>
          <w:rFonts w:ascii="Times New Roman" w:hAnsi="Times New Roman" w:cs="Times New Roman"/>
          <w:sz w:val="28"/>
          <w:szCs w:val="28"/>
        </w:rPr>
        <w:t>млрд.дол</w:t>
      </w:r>
      <w:proofErr w:type="spellEnd"/>
      <w:r>
        <w:rPr>
          <w:rFonts w:ascii="Times New Roman" w:hAnsi="Times New Roman" w:cs="Times New Roman"/>
          <w:sz w:val="28"/>
          <w:szCs w:val="28"/>
        </w:rPr>
        <w:t xml:space="preserve">. інвестицій (у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приватних), з них 60-65 </w:t>
      </w:r>
      <w:proofErr w:type="spellStart"/>
      <w:r>
        <w:rPr>
          <w:rFonts w:ascii="Times New Roman" w:hAnsi="Times New Roman" w:cs="Times New Roman"/>
          <w:sz w:val="28"/>
          <w:szCs w:val="28"/>
        </w:rPr>
        <w:t>млрд.доларів</w:t>
      </w:r>
      <w:proofErr w:type="spellEnd"/>
      <w:r>
        <w:rPr>
          <w:rFonts w:ascii="Times New Roman" w:hAnsi="Times New Roman" w:cs="Times New Roman"/>
          <w:sz w:val="28"/>
          <w:szCs w:val="28"/>
        </w:rPr>
        <w:t xml:space="preserve"> потрібні вже у 2022 році (не включаючи військову допомогу). Основна передумова реалізації такого плану – посилення інституційних </w:t>
      </w:r>
      <w:proofErr w:type="spellStart"/>
      <w:r>
        <w:rPr>
          <w:rFonts w:ascii="Times New Roman" w:hAnsi="Times New Roman" w:cs="Times New Roman"/>
          <w:sz w:val="28"/>
          <w:szCs w:val="28"/>
        </w:rPr>
        <w:t>спроможностей</w:t>
      </w:r>
      <w:proofErr w:type="spellEnd"/>
      <w:r>
        <w:rPr>
          <w:rFonts w:ascii="Times New Roman" w:hAnsi="Times New Roman" w:cs="Times New Roman"/>
          <w:sz w:val="28"/>
          <w:szCs w:val="28"/>
        </w:rPr>
        <w:t xml:space="preserve">, а саме: забезпечення прозорих публічних даних, забезпечення верховенства права, імплементація та покращення корпоративного управління, реформа державної служби. </w:t>
      </w:r>
    </w:p>
    <w:p w:rsidR="0093733D" w:rsidRDefault="0093733D" w:rsidP="009373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Вочевидь, що реалізація зазначеного Плану потребує виконання зобов’язань України в частині боротьби з корупцією, у тому числі пов’язаних з процесом європейської інтеграції.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КК підлягає приведенню у відповідність з вимогами Конвенції ООН проти корупції, Кримінальної конвенції про боротьбу з корупцією, Додаткового протоколу до неї та Цивільної конвенції про боротьбу з корупцією. Розробникам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КК ще до ратифікації Верховною Радою України Конвенції Організації Економічного Співробітництва та Розвитку (ОЕСР) про боротьбу з підкупом іноземних посадових осіб у міжнародних ділових операціях треба привести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КК до вимог цієї Конвенції. Наразі, робоча група з розвитку кримінального права обговорює варіанти імплементації у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КК вимог </w:t>
      </w:r>
      <w:r>
        <w:rPr>
          <w:rFonts w:ascii="Times New Roman" w:hAnsi="Times New Roman" w:cs="Times New Roman"/>
          <w:sz w:val="28"/>
          <w:szCs w:val="28"/>
        </w:rPr>
        <w:lastRenderedPageBreak/>
        <w:t xml:space="preserve">Конвенції про захист фінансових інтересів Європейських Співтовариств, а також Директиви 2017/1371 Європейського парламенту та Ради від 5 липня 2017 року про боротьбу з шахрайством, спрямованого проти фінансових інтересів Союзу, кримінально-правовими засобами. Крім того, дослідженню і впровадженню у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КК підлягають рекомендації: 1) Групи держав проти корупції (</w:t>
      </w:r>
      <w:r>
        <w:rPr>
          <w:rFonts w:ascii="Times New Roman" w:hAnsi="Times New Roman" w:cs="Times New Roman"/>
          <w:sz w:val="28"/>
          <w:szCs w:val="28"/>
          <w:lang w:val="en-US"/>
        </w:rPr>
        <w:t>GRECO</w:t>
      </w:r>
      <w:r>
        <w:rPr>
          <w:rFonts w:ascii="Times New Roman" w:hAnsi="Times New Roman" w:cs="Times New Roman"/>
          <w:sz w:val="28"/>
          <w:szCs w:val="28"/>
        </w:rPr>
        <w:t xml:space="preserve">) і 2) ОЕСР по виконанню Стамбульського плану дій по боротьбі з корупцією, наданих Україні в межах усіх раундів оцінки України, а також рекомендацій, прийнятих під час сесій конференції держав-учасниць </w:t>
      </w:r>
      <w:r>
        <w:rPr>
          <w:rFonts w:ascii="Times New Roman" w:hAnsi="Times New Roman" w:cs="Times New Roman"/>
          <w:sz w:val="28"/>
          <w:szCs w:val="28"/>
          <w:lang w:val="en-US"/>
        </w:rPr>
        <w:t>UNCAC</w:t>
      </w:r>
      <w:r>
        <w:rPr>
          <w:rFonts w:ascii="Times New Roman" w:hAnsi="Times New Roman" w:cs="Times New Roman"/>
          <w:sz w:val="28"/>
          <w:szCs w:val="28"/>
        </w:rPr>
        <w:t>.</w:t>
      </w:r>
    </w:p>
    <w:p w:rsidR="0093733D" w:rsidRPr="00A60C08" w:rsidRDefault="0093733D" w:rsidP="009373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Вочевидь, що післявоєнні виклики можуть бути пов’язані з необхідністю подальшого удосконалення положень кримінального законодавства в частині, наприклад, відповідальності за незаконне поводження зі зброєю ( у тому числі трофейною), тощо. Видається, що як розробникам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КК, так і авторам, які готують пропозиції щодо змін до чинного КК, доцільно враховувати взаємний досвід в частині кримінально-правових відповідей на виклики сучасності.</w:t>
      </w:r>
    </w:p>
    <w:p w:rsidR="00EF0EC8" w:rsidRPr="00EF0EC8" w:rsidRDefault="00EF0EC8" w:rsidP="00EF0EC8">
      <w:pPr>
        <w:spacing w:after="0" w:line="360" w:lineRule="auto"/>
        <w:ind w:firstLine="709"/>
        <w:jc w:val="both"/>
        <w:rPr>
          <w:rFonts w:ascii="Times New Roman" w:hAnsi="Times New Roman" w:cs="Times New Roman"/>
          <w:sz w:val="28"/>
          <w:szCs w:val="28"/>
        </w:rPr>
      </w:pPr>
    </w:p>
    <w:p w:rsidR="00EF0EC8" w:rsidRPr="00EF0EC8" w:rsidRDefault="00EF0EC8" w:rsidP="00EF0EC8">
      <w:pPr>
        <w:spacing w:after="0" w:line="360" w:lineRule="auto"/>
        <w:ind w:firstLine="709"/>
        <w:jc w:val="both"/>
        <w:rPr>
          <w:rFonts w:ascii="Times New Roman" w:hAnsi="Times New Roman" w:cs="Times New Roman"/>
          <w:sz w:val="28"/>
          <w:szCs w:val="28"/>
        </w:rPr>
      </w:pPr>
    </w:p>
    <w:p w:rsidR="00EF0EC8" w:rsidRPr="00EF0EC8" w:rsidRDefault="00EF0EC8" w:rsidP="00EF0EC8">
      <w:pPr>
        <w:spacing w:after="0" w:line="360" w:lineRule="auto"/>
        <w:ind w:firstLine="709"/>
        <w:jc w:val="both"/>
        <w:rPr>
          <w:rFonts w:ascii="Times New Roman" w:hAnsi="Times New Roman" w:cs="Times New Roman"/>
          <w:sz w:val="28"/>
          <w:szCs w:val="28"/>
        </w:rPr>
      </w:pPr>
    </w:p>
    <w:p w:rsidR="00EF0EC8" w:rsidRPr="00EF0EC8" w:rsidRDefault="00EF0EC8" w:rsidP="00EF0EC8">
      <w:pPr>
        <w:pStyle w:val="a3"/>
        <w:spacing w:after="0" w:line="360" w:lineRule="auto"/>
        <w:ind w:left="0" w:firstLine="567"/>
        <w:jc w:val="both"/>
        <w:rPr>
          <w:rFonts w:ascii="Times New Roman" w:hAnsi="Times New Roman" w:cs="Times New Roman"/>
          <w:sz w:val="28"/>
          <w:szCs w:val="28"/>
        </w:rPr>
      </w:pPr>
    </w:p>
    <w:p w:rsidR="00EF0EC8" w:rsidRPr="00EF0EC8" w:rsidRDefault="00EF0EC8" w:rsidP="00DE7F72">
      <w:pPr>
        <w:spacing w:after="0" w:line="360" w:lineRule="auto"/>
        <w:ind w:firstLine="708"/>
        <w:jc w:val="both"/>
        <w:rPr>
          <w:rFonts w:ascii="Times New Roman" w:hAnsi="Times New Roman" w:cs="Times New Roman"/>
          <w:sz w:val="28"/>
          <w:szCs w:val="28"/>
        </w:rPr>
      </w:pPr>
    </w:p>
    <w:sectPr w:rsidR="00EF0EC8" w:rsidRPr="00EF0EC8" w:rsidSect="00F857E1">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F4E15"/>
    <w:multiLevelType w:val="hybridMultilevel"/>
    <w:tmpl w:val="61CEA44A"/>
    <w:lvl w:ilvl="0" w:tplc="B8FC490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58587ADE"/>
    <w:multiLevelType w:val="hybridMultilevel"/>
    <w:tmpl w:val="2EA27304"/>
    <w:lvl w:ilvl="0" w:tplc="E438F51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74CD3951"/>
    <w:multiLevelType w:val="hybridMultilevel"/>
    <w:tmpl w:val="7A22CCF2"/>
    <w:lvl w:ilvl="0" w:tplc="DAC4102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79287875">
    <w:abstractNumId w:val="0"/>
  </w:num>
  <w:num w:numId="2" w16cid:durableId="446898507">
    <w:abstractNumId w:val="2"/>
  </w:num>
  <w:num w:numId="3" w16cid:durableId="889532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FDD"/>
    <w:rsid w:val="001508AB"/>
    <w:rsid w:val="00204020"/>
    <w:rsid w:val="002B56FD"/>
    <w:rsid w:val="003A1443"/>
    <w:rsid w:val="00630FDD"/>
    <w:rsid w:val="0093733D"/>
    <w:rsid w:val="00DE7F72"/>
    <w:rsid w:val="00EF0EC8"/>
    <w:rsid w:val="00F857E1"/>
    <w:rsid w:val="00FC5B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2C874"/>
  <w15:chartTrackingRefBased/>
  <w15:docId w15:val="{F0A69D2D-8FDD-4013-9B97-68F66578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4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27743</Words>
  <Characters>15815</Characters>
  <Application>Microsoft Office Word</Application>
  <DocSecurity>0</DocSecurity>
  <Lines>131</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6</cp:revision>
  <dcterms:created xsi:type="dcterms:W3CDTF">2022-12-22T15:34:00Z</dcterms:created>
  <dcterms:modified xsi:type="dcterms:W3CDTF">2022-12-23T15:15:00Z</dcterms:modified>
</cp:coreProperties>
</file>