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EE" w:rsidRPr="003C18EE" w:rsidRDefault="003C18EE" w:rsidP="003C18EE">
      <w:pPr>
        <w:spacing w:after="5"/>
        <w:ind w:left="5346" w:right="-6" w:hanging="11"/>
        <w:jc w:val="right"/>
        <w:rPr>
          <w:sz w:val="28"/>
          <w:szCs w:val="28"/>
        </w:rPr>
      </w:pPr>
      <w:r w:rsidRPr="003C18EE">
        <w:rPr>
          <w:sz w:val="28"/>
          <w:szCs w:val="28"/>
        </w:rPr>
        <w:t xml:space="preserve">Затверджено на засіданні  кафедри державного будівництва  </w:t>
      </w:r>
    </w:p>
    <w:p w:rsidR="003C18EE" w:rsidRPr="003C18EE" w:rsidRDefault="003C18EE" w:rsidP="003C18EE">
      <w:pPr>
        <w:spacing w:after="5"/>
        <w:ind w:left="3823" w:right="-6" w:hanging="11"/>
        <w:jc w:val="right"/>
        <w:rPr>
          <w:sz w:val="28"/>
          <w:szCs w:val="28"/>
        </w:rPr>
      </w:pPr>
      <w:r w:rsidRPr="003C18EE">
        <w:rPr>
          <w:sz w:val="28"/>
          <w:szCs w:val="28"/>
        </w:rPr>
        <w:t xml:space="preserve">Національного юридичного університету  імені Ярослава Мудрого </w:t>
      </w:r>
    </w:p>
    <w:p w:rsidR="003C18EE" w:rsidRPr="003C18EE" w:rsidRDefault="003C18EE" w:rsidP="003C18EE">
      <w:pPr>
        <w:spacing w:after="5"/>
        <w:ind w:left="3823" w:right="-6" w:hanging="11"/>
        <w:jc w:val="right"/>
        <w:rPr>
          <w:sz w:val="28"/>
          <w:szCs w:val="28"/>
        </w:rPr>
      </w:pPr>
      <w:r w:rsidRPr="003C18EE">
        <w:rPr>
          <w:sz w:val="28"/>
          <w:szCs w:val="28"/>
        </w:rPr>
        <w:t xml:space="preserve">(протокол № 1 від 26.08.2024 р.) </w:t>
      </w:r>
    </w:p>
    <w:p w:rsidR="003C18EE" w:rsidRPr="003C18EE" w:rsidRDefault="003C18EE" w:rsidP="003C18EE">
      <w:pPr>
        <w:spacing w:line="259" w:lineRule="auto"/>
        <w:ind w:left="64"/>
        <w:jc w:val="center"/>
        <w:rPr>
          <w:sz w:val="28"/>
          <w:szCs w:val="28"/>
        </w:rPr>
      </w:pPr>
      <w:r w:rsidRPr="003C18EE">
        <w:rPr>
          <w:b/>
          <w:sz w:val="28"/>
          <w:szCs w:val="28"/>
        </w:rPr>
        <w:t xml:space="preserve"> </w:t>
      </w:r>
    </w:p>
    <w:p w:rsidR="00762A94" w:rsidRDefault="003C18EE" w:rsidP="003C18EE">
      <w:pPr>
        <w:ind w:left="332" w:right="338" w:firstLine="283"/>
        <w:jc w:val="center"/>
        <w:rPr>
          <w:sz w:val="28"/>
          <w:szCs w:val="28"/>
        </w:rPr>
      </w:pPr>
      <w:r w:rsidRPr="003C18EE">
        <w:rPr>
          <w:b/>
          <w:sz w:val="28"/>
          <w:szCs w:val="28"/>
        </w:rPr>
        <w:t>Критерії оцінювання знань студентів при проведенні поточного контролю та підсумкового контролю знань з дисципліни «Державне будівництво та місцеве самоврядування в Україні»</w:t>
      </w:r>
      <w:r w:rsidRPr="003C18EE">
        <w:rPr>
          <w:sz w:val="28"/>
          <w:szCs w:val="28"/>
        </w:rPr>
        <w:t xml:space="preserve"> </w:t>
      </w:r>
    </w:p>
    <w:p w:rsidR="003C18EE" w:rsidRPr="003C18EE" w:rsidRDefault="003C18EE" w:rsidP="003C18EE">
      <w:pPr>
        <w:ind w:left="332" w:right="338" w:firstLine="283"/>
        <w:jc w:val="center"/>
        <w:rPr>
          <w:sz w:val="28"/>
          <w:szCs w:val="28"/>
        </w:rPr>
      </w:pPr>
      <w:bookmarkStart w:id="0" w:name="_GoBack"/>
      <w:bookmarkEnd w:id="0"/>
      <w:r w:rsidRPr="003C18EE">
        <w:rPr>
          <w:b/>
          <w:sz w:val="28"/>
          <w:szCs w:val="28"/>
        </w:rPr>
        <w:t>у 2024/2025 навчальному році</w:t>
      </w:r>
    </w:p>
    <w:p w:rsidR="003C18EE" w:rsidRPr="003C18EE" w:rsidRDefault="003C18EE" w:rsidP="003C18EE">
      <w:pPr>
        <w:spacing w:line="360" w:lineRule="auto"/>
        <w:ind w:left="721"/>
        <w:jc w:val="center"/>
        <w:rPr>
          <w:sz w:val="28"/>
          <w:szCs w:val="28"/>
        </w:rPr>
      </w:pPr>
    </w:p>
    <w:p w:rsidR="003C18EE" w:rsidRPr="003C18EE" w:rsidRDefault="003C18EE" w:rsidP="003C18EE">
      <w:pPr>
        <w:spacing w:line="360" w:lineRule="auto"/>
        <w:ind w:left="-15" w:right="-1" w:firstLine="630"/>
        <w:jc w:val="both"/>
        <w:rPr>
          <w:sz w:val="28"/>
          <w:szCs w:val="28"/>
        </w:rPr>
      </w:pPr>
      <w:r w:rsidRPr="003C18EE">
        <w:rPr>
          <w:sz w:val="28"/>
          <w:szCs w:val="28"/>
        </w:rPr>
        <w:t xml:space="preserve">Оцінювання знань студентів з навчальної дисципліни «Державне будівництво та місцеве самоврядування в Україні» здійснюється на основі результатів практичних занять, виконання самостійної роботи, модульного контролю та іспиту за 100-бальною шкалою.  </w:t>
      </w:r>
    </w:p>
    <w:p w:rsidR="003C18EE" w:rsidRPr="003C18EE" w:rsidRDefault="003C18EE" w:rsidP="003C18EE">
      <w:pPr>
        <w:spacing w:line="360" w:lineRule="auto"/>
        <w:ind w:left="-15" w:right="-1" w:firstLine="630"/>
        <w:jc w:val="both"/>
        <w:rPr>
          <w:sz w:val="28"/>
          <w:szCs w:val="28"/>
        </w:rPr>
      </w:pPr>
      <w:r w:rsidRPr="003C18EE">
        <w:rPr>
          <w:sz w:val="28"/>
          <w:szCs w:val="28"/>
        </w:rPr>
        <w:t xml:space="preserve">Результати практичних занять, колоквіумів, виконання самостійної роботи, модульного контролю оцінюються в діапазоні – 0-40 балів (0-26 – практичні заняття, колоквіуми; 0-8 – самостійна робота, 0-6 балів – </w:t>
      </w:r>
      <w:proofErr w:type="spellStart"/>
      <w:r w:rsidRPr="003C18EE">
        <w:rPr>
          <w:sz w:val="28"/>
          <w:szCs w:val="28"/>
        </w:rPr>
        <w:t>розв</w:t>
      </w:r>
      <w:proofErr w:type="spellEnd"/>
      <w:r w:rsidRPr="003C18EE">
        <w:rPr>
          <w:sz w:val="28"/>
          <w:szCs w:val="28"/>
          <w:lang w:val="en-US"/>
        </w:rPr>
        <w:t>’</w:t>
      </w:r>
      <w:proofErr w:type="spellStart"/>
      <w:r w:rsidRPr="003C18EE">
        <w:rPr>
          <w:sz w:val="28"/>
          <w:szCs w:val="28"/>
        </w:rPr>
        <w:t>язання</w:t>
      </w:r>
      <w:proofErr w:type="spellEnd"/>
      <w:r w:rsidRPr="003C18EE">
        <w:rPr>
          <w:sz w:val="28"/>
          <w:szCs w:val="28"/>
        </w:rPr>
        <w:t xml:space="preserve"> тестових завдань або виконання контрольної роботи (Модуль №1, Модуль №2, Модуль №3) — 2 бали х 3 = 6 балів). Підсумковий контроль знань здійснюється у формі іспиту та оцінюється в діапазоні – 0-60 балів. </w:t>
      </w:r>
    </w:p>
    <w:p w:rsidR="003C18EE" w:rsidRPr="003C18EE" w:rsidRDefault="003C18EE" w:rsidP="003C18EE">
      <w:pPr>
        <w:spacing w:line="360" w:lineRule="auto"/>
        <w:ind w:left="-15" w:right="-1" w:firstLine="630"/>
        <w:jc w:val="both"/>
        <w:rPr>
          <w:sz w:val="28"/>
          <w:szCs w:val="28"/>
        </w:rPr>
      </w:pPr>
      <w:r w:rsidRPr="003C18EE">
        <w:rPr>
          <w:sz w:val="28"/>
          <w:szCs w:val="28"/>
        </w:rPr>
        <w:t xml:space="preserve">Робота студентів на практичному занятті, колоквіумі оцінюється залежно від активності на занятті, глибини засвоєння матеріалу та рекомендованої літератури, ступеня обґрунтованості, повноти і правильності відповіді.  </w:t>
      </w:r>
    </w:p>
    <w:p w:rsidR="003C18EE" w:rsidRDefault="003C18EE" w:rsidP="003C18EE">
      <w:pPr>
        <w:spacing w:line="360" w:lineRule="auto"/>
        <w:ind w:left="-15" w:right="-1" w:firstLine="630"/>
        <w:jc w:val="both"/>
        <w:rPr>
          <w:sz w:val="28"/>
          <w:szCs w:val="28"/>
        </w:rPr>
      </w:pPr>
      <w:r w:rsidRPr="003C18EE">
        <w:rPr>
          <w:sz w:val="28"/>
          <w:szCs w:val="28"/>
        </w:rPr>
        <w:t>Виконання самостійної роботи оцінюється за результатами самостійності та індивідуальності виконання, а також залежно від ступеня обґрунтованості, повноти, правильності, аргументованості</w:t>
      </w:r>
      <w:r w:rsidRPr="003C18EE">
        <w:rPr>
          <w:sz w:val="28"/>
          <w:szCs w:val="28"/>
        </w:rPr>
        <w:t xml:space="preserve"> та виду обраної с</w:t>
      </w:r>
      <w:r w:rsidRPr="003C18EE">
        <w:rPr>
          <w:sz w:val="28"/>
          <w:szCs w:val="28"/>
        </w:rPr>
        <w:t>амостійн</w:t>
      </w:r>
      <w:r w:rsidRPr="003C18EE">
        <w:rPr>
          <w:sz w:val="28"/>
          <w:szCs w:val="28"/>
        </w:rPr>
        <w:t>ої</w:t>
      </w:r>
      <w:r w:rsidRPr="003C18EE">
        <w:rPr>
          <w:sz w:val="28"/>
          <w:szCs w:val="28"/>
        </w:rPr>
        <w:t xml:space="preserve"> робот</w:t>
      </w:r>
      <w:r w:rsidRPr="003C18EE">
        <w:rPr>
          <w:sz w:val="28"/>
          <w:szCs w:val="28"/>
        </w:rPr>
        <w:t xml:space="preserve">и. </w:t>
      </w:r>
    </w:p>
    <w:p w:rsidR="003C18EE" w:rsidRDefault="003C18EE" w:rsidP="003C18EE">
      <w:pPr>
        <w:spacing w:line="360" w:lineRule="auto"/>
        <w:ind w:left="-15" w:right="-1" w:firstLine="630"/>
        <w:jc w:val="both"/>
      </w:pPr>
      <w:r w:rsidRPr="003C18EE">
        <w:rPr>
          <w:sz w:val="28"/>
          <w:szCs w:val="28"/>
        </w:rPr>
        <w:t xml:space="preserve">Вид самостійної роботи обирається у межах програми навчальної дисципліни за узгодженням з викладачем на початку навчального семестру. Тематика тез та конференція, на яку вони будуть подані, визначаються студентом за погодженням з викладачем (науковим керівником). Підготовка наукової статті передбачає узгодження із викладачем (науковим керівником) її тематики, рецензування викладачем та подання на опублікування в виданні </w:t>
      </w:r>
      <w:r w:rsidRPr="003C18EE">
        <w:rPr>
          <w:sz w:val="28"/>
          <w:szCs w:val="28"/>
        </w:rPr>
        <w:lastRenderedPageBreak/>
        <w:t xml:space="preserve">правничого спрямування. Організацію, контроль та оцінку якості її виконання здійснює викладач. </w:t>
      </w:r>
    </w:p>
    <w:tbl>
      <w:tblPr>
        <w:tblpPr w:leftFromText="180" w:rightFromText="180" w:vertAnchor="page" w:horzAnchor="margin" w:tblpXSpec="center" w:tblpY="22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583"/>
        <w:gridCol w:w="1470"/>
        <w:gridCol w:w="4100"/>
      </w:tblGrid>
      <w:tr w:rsidR="003C18EE" w:rsidRPr="0010436B" w:rsidTr="00025512">
        <w:tc>
          <w:tcPr>
            <w:tcW w:w="1398" w:type="dxa"/>
            <w:vMerge w:val="restart"/>
            <w:shd w:val="clear" w:color="auto" w:fill="auto"/>
          </w:tcPr>
          <w:p w:rsidR="003C18EE" w:rsidRPr="00C65796" w:rsidRDefault="003C18EE" w:rsidP="003C18EE">
            <w:pPr>
              <w:keepNext/>
              <w:keepLines/>
              <w:widowControl w:val="0"/>
              <w:jc w:val="center"/>
              <w:rPr>
                <w:b/>
              </w:rPr>
            </w:pPr>
            <w:r w:rsidRPr="00C65796">
              <w:rPr>
                <w:b/>
              </w:rPr>
              <w:t>Оцінка самостійної роботи студента</w:t>
            </w:r>
          </w:p>
        </w:tc>
        <w:tc>
          <w:tcPr>
            <w:tcW w:w="2385" w:type="dxa"/>
            <w:shd w:val="clear" w:color="auto" w:fill="auto"/>
          </w:tcPr>
          <w:p w:rsidR="003C18EE" w:rsidRPr="00C65796" w:rsidRDefault="003C18EE" w:rsidP="003C18EE">
            <w:pPr>
              <w:keepNext/>
              <w:keepLines/>
              <w:widowControl w:val="0"/>
              <w:jc w:val="center"/>
              <w:rPr>
                <w:b/>
              </w:rPr>
            </w:pPr>
            <w:r w:rsidRPr="00C65796">
              <w:rPr>
                <w:b/>
              </w:rPr>
              <w:t>Вид роботи</w:t>
            </w:r>
          </w:p>
        </w:tc>
        <w:tc>
          <w:tcPr>
            <w:tcW w:w="1489" w:type="dxa"/>
            <w:shd w:val="clear" w:color="auto" w:fill="auto"/>
          </w:tcPr>
          <w:p w:rsidR="003C18EE" w:rsidRPr="00C65796" w:rsidRDefault="003C18EE" w:rsidP="003C18EE">
            <w:pPr>
              <w:keepNext/>
              <w:keepLines/>
              <w:widowControl w:val="0"/>
              <w:jc w:val="center"/>
              <w:rPr>
                <w:b/>
              </w:rPr>
            </w:pPr>
            <w:r w:rsidRPr="00C65796">
              <w:rPr>
                <w:b/>
              </w:rPr>
              <w:t>Кількість балів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3C18EE">
            <w:pPr>
              <w:keepNext/>
              <w:keepLines/>
              <w:widowControl w:val="0"/>
              <w:jc w:val="center"/>
              <w:rPr>
                <w:b/>
              </w:rPr>
            </w:pPr>
            <w:r w:rsidRPr="00C65796">
              <w:rPr>
                <w:b/>
              </w:rPr>
              <w:t>Опис балів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 w:val="restart"/>
            <w:shd w:val="clear" w:color="auto" w:fill="auto"/>
          </w:tcPr>
          <w:p w:rsidR="003C18EE" w:rsidRPr="00F41FC1" w:rsidRDefault="003C18EE" w:rsidP="00025512">
            <w:r w:rsidRPr="00F41FC1">
              <w:t>Наукова стаття</w:t>
            </w:r>
          </w:p>
        </w:tc>
        <w:tc>
          <w:tcPr>
            <w:tcW w:w="1489" w:type="dxa"/>
            <w:shd w:val="clear" w:color="auto" w:fill="auto"/>
          </w:tcPr>
          <w:p w:rsidR="003C18EE" w:rsidRPr="00F41FC1" w:rsidRDefault="003C18EE" w:rsidP="00025512">
            <w:pPr>
              <w:jc w:val="center"/>
            </w:pPr>
            <w:r>
              <w:t>Мах 8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Самостійне виконання студентом наукової статті та направлення її на опублікування до редакції фахового видання</w:t>
            </w:r>
          </w:p>
        </w:tc>
      </w:tr>
      <w:tr w:rsidR="003C18EE" w:rsidRPr="00F41FC1" w:rsidTr="00025512">
        <w:trPr>
          <w:trHeight w:val="756"/>
        </w:trPr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5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Самостійне виконання наукової статті, погодження її з викладачем, однак не направлення її на опублікування до редакції фахового видання, або опублікування такої статті у нефаховому виданні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Мін 0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 xml:space="preserve">Обрання теми написання наукової статті, однак </w:t>
            </w:r>
            <w:proofErr w:type="spellStart"/>
            <w:r w:rsidRPr="00C65796">
              <w:rPr>
                <w:sz w:val="16"/>
                <w:szCs w:val="16"/>
              </w:rPr>
              <w:t>незавершення</w:t>
            </w:r>
            <w:proofErr w:type="spellEnd"/>
            <w:r w:rsidRPr="00C65796">
              <w:rPr>
                <w:sz w:val="16"/>
                <w:szCs w:val="16"/>
              </w:rPr>
              <w:t xml:space="preserve"> виконання роботи або несамостійне виконання роботи, або виконання роботи, яка містить значну кількість доктринальних, правових та інших помилок, які неможливо виправити без повного перероблення роботи.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 w:val="restart"/>
            <w:shd w:val="clear" w:color="auto" w:fill="auto"/>
          </w:tcPr>
          <w:p w:rsidR="003C18EE" w:rsidRPr="00F41FC1" w:rsidRDefault="003C18EE" w:rsidP="00025512">
            <w:r w:rsidRPr="00F41FC1">
              <w:t>Тези наукових доповідей і повідомлень</w:t>
            </w:r>
          </w:p>
        </w:tc>
        <w:tc>
          <w:tcPr>
            <w:tcW w:w="1489" w:type="dxa"/>
            <w:shd w:val="clear" w:color="auto" w:fill="auto"/>
          </w:tcPr>
          <w:p w:rsidR="003C18EE" w:rsidRPr="00F41FC1" w:rsidRDefault="003C18EE" w:rsidP="00025512">
            <w:pPr>
              <w:jc w:val="center"/>
            </w:pPr>
            <w:r>
              <w:t>Мах 7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Самостійне виконання тез наукових доповідей, направлення їх до організаційного відділу тематичної конференції та участь у конференції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5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Самостійне виконання тез наукової доповіді, погодження їх з викладачем, однак не направлення їх на опублікування та участь у конференції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Мін 0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Обрання теми для написання тез доповідей, однак невиконання роботи або несамостійне виконання роботи, або виконання роботи, яка містить значну кількість доктринальних помилок, які неможливо виправити без повного перероблення роботи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 w:val="restart"/>
            <w:shd w:val="clear" w:color="auto" w:fill="auto"/>
          </w:tcPr>
          <w:p w:rsidR="003C18EE" w:rsidRPr="00F41FC1" w:rsidRDefault="003C18EE" w:rsidP="00025512">
            <w:r w:rsidRPr="00F41FC1">
              <w:t>Есе</w:t>
            </w:r>
            <w:r>
              <w:t xml:space="preserve"> (наукове повідомлення за вузькоспеціалізованою проблематикою)</w:t>
            </w:r>
          </w:p>
        </w:tc>
        <w:tc>
          <w:tcPr>
            <w:tcW w:w="1489" w:type="dxa"/>
            <w:shd w:val="clear" w:color="auto" w:fill="auto"/>
          </w:tcPr>
          <w:p w:rsidR="003C18EE" w:rsidRPr="00F41FC1" w:rsidRDefault="003C18EE" w:rsidP="00025512">
            <w:pPr>
              <w:jc w:val="center"/>
            </w:pPr>
            <w:r>
              <w:t>Мах 5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Глибоке знання та висвітлення проблем, пов’язаних із темою дослідження. Вільне володіння матеріалом, вміння самостійно й творчо мислити, знаходити, узагальнювати, аналізувати матеріал, робити самостійні теоретичні і практичні висновки.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3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Основні питання висвітлено поверхнево, висновки не мають самостійного характеру.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Мін 0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Основні положення теми не висвітлено, в наведеному матеріалі є велика кількість помилок, немає висновків, відсутнє володіння матеріалом роботи.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 w:val="restart"/>
            <w:shd w:val="clear" w:color="auto" w:fill="auto"/>
          </w:tcPr>
          <w:p w:rsidR="003C18EE" w:rsidRPr="00F41FC1" w:rsidRDefault="003C18EE" w:rsidP="00025512">
            <w:r>
              <w:t xml:space="preserve">Підготовка тематичних </w:t>
            </w:r>
            <w:r w:rsidRPr="00F41FC1">
              <w:t>презентаці</w:t>
            </w:r>
            <w:r>
              <w:t>й</w:t>
            </w:r>
          </w:p>
        </w:tc>
        <w:tc>
          <w:tcPr>
            <w:tcW w:w="1489" w:type="dxa"/>
            <w:shd w:val="clear" w:color="auto" w:fill="auto"/>
          </w:tcPr>
          <w:p w:rsidR="003C18EE" w:rsidRPr="00F41FC1" w:rsidRDefault="003C18EE" w:rsidP="00025512">
            <w:pPr>
              <w:jc w:val="center"/>
            </w:pPr>
            <w:r>
              <w:t>Мах 5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Презентації є змістовними, висвітлюють основний матеріал теми та проблеми прикладного характеру. Студент проявляє володіння матеріалом презентацій, орієнтується в їх змісті, може проілюструвати значення наведеної інформації.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3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 xml:space="preserve">Презентація лише частково відображає зміст теми, не містить частину важливих інформаційних даних. Студент посередньо орієнтується в сутності інформації, наведеної у презентації 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Мін 0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Презентація не відображає сутність теми за якою вона виконувалась. Студент не орієнтується в матеріалі, що містить презентація та в проблематиці навчальної дисципліни.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 w:val="restart"/>
            <w:shd w:val="clear" w:color="auto" w:fill="auto"/>
          </w:tcPr>
          <w:p w:rsidR="003C18EE" w:rsidRPr="00F41FC1" w:rsidRDefault="003C18EE" w:rsidP="00025512">
            <w:r>
              <w:t>А</w:t>
            </w:r>
            <w:r w:rsidRPr="006B39E6">
              <w:t>нотування додаткової літератури</w:t>
            </w:r>
            <w:r>
              <w:t xml:space="preserve"> (наукових статей і монографій)</w:t>
            </w:r>
          </w:p>
        </w:tc>
        <w:tc>
          <w:tcPr>
            <w:tcW w:w="1489" w:type="dxa"/>
            <w:shd w:val="clear" w:color="auto" w:fill="auto"/>
          </w:tcPr>
          <w:p w:rsidR="003C18EE" w:rsidRPr="00F41FC1" w:rsidRDefault="003C18EE" w:rsidP="00025512">
            <w:pPr>
              <w:jc w:val="center"/>
            </w:pPr>
            <w:r>
              <w:t>Мах 5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 xml:space="preserve">Проведення самостійного аналізу значної кількості джерел літератури (не менше 5 джерел з одної правової проблематики) та висвітлення основних авторських підходів до </w:t>
            </w:r>
            <w:proofErr w:type="spellStart"/>
            <w:r w:rsidRPr="00C65796">
              <w:rPr>
                <w:sz w:val="16"/>
                <w:szCs w:val="16"/>
              </w:rPr>
              <w:t>аналізуємого</w:t>
            </w:r>
            <w:proofErr w:type="spellEnd"/>
            <w:r w:rsidRPr="00C65796">
              <w:rPr>
                <w:sz w:val="16"/>
                <w:szCs w:val="16"/>
              </w:rPr>
              <w:t xml:space="preserve"> правового явища (обраної теми для анотування). Наведення власних висновків з анотованого матеріалу. 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Default="003C18EE" w:rsidP="00025512"/>
        </w:tc>
        <w:tc>
          <w:tcPr>
            <w:tcW w:w="1489" w:type="dxa"/>
            <w:shd w:val="clear" w:color="auto" w:fill="auto"/>
          </w:tcPr>
          <w:p w:rsidR="003C18EE" w:rsidRPr="00F41FC1" w:rsidRDefault="003C18EE" w:rsidP="00025512">
            <w:pPr>
              <w:jc w:val="center"/>
            </w:pPr>
            <w:r>
              <w:t>3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 xml:space="preserve">Проведення аналізу декількох джерел літератури та здійснення анотування основних думок їх авторів. Відсутність власних висновків з анотованого матеріалу.  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Мін 0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Обрання тематики для анотування додаткової літератури, погодження її з викладачем, проте не виконання роботи.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 w:val="restart"/>
            <w:shd w:val="clear" w:color="auto" w:fill="auto"/>
          </w:tcPr>
          <w:p w:rsidR="003C18EE" w:rsidRPr="006B39E6" w:rsidRDefault="003C18EE" w:rsidP="00025512">
            <w:r w:rsidRPr="006B39E6">
              <w:t>Узагальнення матеріалів практики роботи органів влади</w:t>
            </w:r>
          </w:p>
        </w:tc>
        <w:tc>
          <w:tcPr>
            <w:tcW w:w="1489" w:type="dxa"/>
            <w:shd w:val="clear" w:color="auto" w:fill="auto"/>
          </w:tcPr>
          <w:p w:rsidR="003C18EE" w:rsidRPr="00F41FC1" w:rsidRDefault="003C18EE" w:rsidP="00025512">
            <w:pPr>
              <w:jc w:val="center"/>
            </w:pPr>
            <w:r>
              <w:t>Мах 5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 xml:space="preserve">Опрацювання матеріалів практики роботи органів державної влади та органів місцевого самоврядування в межах однієї правової проблематики (протоколів засідань, порядків денних, стенограм, положень тощо.) Узагальнення основної інформації, яка в них міститься. Наведення власних висновків з опрацьованого матеріалу. 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Pr="006B39E6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3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Опрацювання неповної кількості джерел матеріалів практики, деякі помилки у висновках по роботі з матеріалами практики.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Pr="006B39E6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Мін 0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Обрання напрямку для узагальнення матеріалів практики, узгодження його з викладачем, проте невиконання цієї роботи.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 w:val="restart"/>
            <w:shd w:val="clear" w:color="auto" w:fill="auto"/>
          </w:tcPr>
          <w:p w:rsidR="003C18EE" w:rsidRPr="006B39E6" w:rsidRDefault="003C18EE" w:rsidP="00025512">
            <w:r>
              <w:t>У</w:t>
            </w:r>
            <w:r w:rsidRPr="006B39E6">
              <w:t>часть у конкурсах студентських наукових праць</w:t>
            </w:r>
          </w:p>
        </w:tc>
        <w:tc>
          <w:tcPr>
            <w:tcW w:w="1489" w:type="dxa"/>
            <w:shd w:val="clear" w:color="auto" w:fill="auto"/>
          </w:tcPr>
          <w:p w:rsidR="003C18EE" w:rsidRPr="00F41FC1" w:rsidRDefault="003C18EE" w:rsidP="00025512">
            <w:pPr>
              <w:jc w:val="center"/>
            </w:pPr>
            <w:r>
              <w:t>Мах 8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Самостійна підготовка студентом наукової роботи на конкурс наукових робіт відповідно до інформаційного повідомлення про оголошення конкурсу (може бути виконана у разі оголошення про проведення конкурсу студентських наукових робіт)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Мін 0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Погодження участі у конкурсі з викладачем, однак невиконання наукової роботи у встановлені терміни та порушення вимог та строків виконання наукової статті</w:t>
            </w:r>
          </w:p>
        </w:tc>
      </w:tr>
      <w:tr w:rsidR="003C18EE" w:rsidRPr="00F41FC1" w:rsidTr="00025512"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 w:val="restart"/>
            <w:shd w:val="clear" w:color="auto" w:fill="auto"/>
          </w:tcPr>
          <w:p w:rsidR="003C18EE" w:rsidRPr="006B39E6" w:rsidRDefault="003C18EE" w:rsidP="00025512">
            <w:r>
              <w:t>Р</w:t>
            </w:r>
            <w:r w:rsidRPr="006B39E6">
              <w:t>обота над кейсами з проблемних  питань навчальної дисципліни</w:t>
            </w:r>
          </w:p>
        </w:tc>
        <w:tc>
          <w:tcPr>
            <w:tcW w:w="1489" w:type="dxa"/>
            <w:shd w:val="clear" w:color="auto" w:fill="auto"/>
          </w:tcPr>
          <w:p w:rsidR="003C18EE" w:rsidRPr="00F41FC1" w:rsidRDefault="003C18EE" w:rsidP="00025512">
            <w:pPr>
              <w:jc w:val="center"/>
            </w:pPr>
            <w:r>
              <w:t>Мах 3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Виконання всіх передбачених практичних казусів, розуміння проблемних питань, щодо яких дані казуси сформульовані, вміння пояснити власну позицію.</w:t>
            </w:r>
          </w:p>
        </w:tc>
      </w:tr>
      <w:tr w:rsidR="003C18EE" w:rsidRPr="00F41FC1" w:rsidTr="00025512">
        <w:trPr>
          <w:trHeight w:val="341"/>
        </w:trPr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Pr="006B39E6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Мін 0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Відсутність виконаних кейсів з проблемних питань навчальної дисципліни.</w:t>
            </w:r>
          </w:p>
        </w:tc>
      </w:tr>
      <w:tr w:rsidR="003C18EE" w:rsidRPr="00F41FC1" w:rsidTr="00025512">
        <w:trPr>
          <w:trHeight w:val="341"/>
        </w:trPr>
        <w:tc>
          <w:tcPr>
            <w:tcW w:w="1398" w:type="dxa"/>
            <w:vMerge w:val="restart"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 w:val="restart"/>
            <w:shd w:val="clear" w:color="auto" w:fill="auto"/>
          </w:tcPr>
          <w:p w:rsidR="003C18EE" w:rsidRPr="006B39E6" w:rsidRDefault="003C18EE" w:rsidP="00025512">
            <w:r>
              <w:t>Складання термінологічних словників</w:t>
            </w:r>
          </w:p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Мах 3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Наведення значної кількості передбачених у законодавстві та доктринальних джерелах термінів (понять, категорій, дефініцій) з певної теми навчальної дисципліни з розкриттям їх змісту та посиланням на джерело, в якому міститься цей термін</w:t>
            </w:r>
          </w:p>
        </w:tc>
      </w:tr>
      <w:tr w:rsidR="003C18EE" w:rsidRPr="00F41FC1" w:rsidTr="00025512">
        <w:trPr>
          <w:trHeight w:val="341"/>
        </w:trPr>
        <w:tc>
          <w:tcPr>
            <w:tcW w:w="1398" w:type="dxa"/>
            <w:vMerge/>
            <w:shd w:val="clear" w:color="auto" w:fill="auto"/>
          </w:tcPr>
          <w:p w:rsidR="003C18EE" w:rsidRPr="00F41FC1" w:rsidRDefault="003C18EE" w:rsidP="00025512"/>
        </w:tc>
        <w:tc>
          <w:tcPr>
            <w:tcW w:w="2385" w:type="dxa"/>
            <w:vMerge/>
            <w:shd w:val="clear" w:color="auto" w:fill="auto"/>
          </w:tcPr>
          <w:p w:rsidR="003C18EE" w:rsidRDefault="003C18EE" w:rsidP="00025512"/>
        </w:tc>
        <w:tc>
          <w:tcPr>
            <w:tcW w:w="1489" w:type="dxa"/>
            <w:shd w:val="clear" w:color="auto" w:fill="auto"/>
          </w:tcPr>
          <w:p w:rsidR="003C18EE" w:rsidRDefault="003C18EE" w:rsidP="00025512">
            <w:pPr>
              <w:jc w:val="center"/>
            </w:pPr>
            <w:r>
              <w:t>Мін 0</w:t>
            </w:r>
          </w:p>
        </w:tc>
        <w:tc>
          <w:tcPr>
            <w:tcW w:w="4362" w:type="dxa"/>
            <w:shd w:val="clear" w:color="auto" w:fill="auto"/>
          </w:tcPr>
          <w:p w:rsidR="003C18EE" w:rsidRPr="00C65796" w:rsidRDefault="003C18EE" w:rsidP="00025512">
            <w:pPr>
              <w:jc w:val="both"/>
              <w:rPr>
                <w:sz w:val="16"/>
                <w:szCs w:val="16"/>
              </w:rPr>
            </w:pPr>
            <w:r w:rsidRPr="00C65796">
              <w:rPr>
                <w:sz w:val="16"/>
                <w:szCs w:val="16"/>
              </w:rPr>
              <w:t>Обрання в якості самостійної роботи складання термінологічного словника, погодження його з викладачем, однак невиконання цієї роботи</w:t>
            </w:r>
          </w:p>
        </w:tc>
      </w:tr>
    </w:tbl>
    <w:p w:rsidR="003C18EE" w:rsidRDefault="003C18EE"/>
    <w:p w:rsidR="003C18EE" w:rsidRPr="003C18EE" w:rsidRDefault="003C18EE" w:rsidP="003C18EE">
      <w:pPr>
        <w:spacing w:line="360" w:lineRule="auto"/>
        <w:ind w:right="-1" w:firstLine="708"/>
        <w:jc w:val="both"/>
        <w:rPr>
          <w:sz w:val="28"/>
          <w:szCs w:val="28"/>
        </w:rPr>
      </w:pPr>
      <w:r w:rsidRPr="003C18EE">
        <w:rPr>
          <w:sz w:val="28"/>
          <w:szCs w:val="28"/>
        </w:rPr>
        <w:t xml:space="preserve">Підсумковий бал за результатами поточного контролю (ПК) обчислюється під час останнього практичного заняття відповідного семестру. Результати ПК знань студентів своєчасно вносяться до журналу обліку роботи викладача та оприлюднюються в академічній групі (особисто студенту за його запитом). У разі невиконання завдань поточного контролю (ПК) з об’єктивних причин студенти мають право на ліквідацію заборгованості. Індивідуальні консультації та відпрацювання здійснюються за графіком, узгодженим із викладачем.  </w:t>
      </w:r>
    </w:p>
    <w:p w:rsidR="003C18EE" w:rsidRPr="003C18EE" w:rsidRDefault="003C18EE" w:rsidP="003C18EE">
      <w:pPr>
        <w:spacing w:line="360" w:lineRule="auto"/>
        <w:ind w:left="-15" w:right="-1" w:firstLine="723"/>
        <w:jc w:val="both"/>
        <w:rPr>
          <w:sz w:val="28"/>
          <w:szCs w:val="28"/>
        </w:rPr>
      </w:pPr>
      <w:r w:rsidRPr="003C18EE">
        <w:rPr>
          <w:sz w:val="28"/>
          <w:szCs w:val="28"/>
        </w:rPr>
        <w:t xml:space="preserve">Студент допускається до складення іспиту за умови отримання ним не менше 25 балів за результатами практичних занять, виконання самостійної роботи, контрольної роботи, тестових завдань. </w:t>
      </w:r>
    </w:p>
    <w:p w:rsidR="003C18EE" w:rsidRDefault="003C18EE" w:rsidP="003C18EE">
      <w:pPr>
        <w:spacing w:line="259" w:lineRule="auto"/>
        <w:ind w:left="64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9585" w:type="dxa"/>
        <w:tblInd w:w="-230" w:type="dxa"/>
        <w:tblCellMar>
          <w:top w:w="8" w:type="dxa"/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2238"/>
        <w:gridCol w:w="1417"/>
        <w:gridCol w:w="4115"/>
        <w:gridCol w:w="1815"/>
      </w:tblGrid>
      <w:tr w:rsidR="003C18EE" w:rsidTr="00025512">
        <w:trPr>
          <w:trHeight w:val="65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50"/>
              <w:jc w:val="center"/>
            </w:pPr>
            <w:r>
              <w:rPr>
                <w:b/>
              </w:rPr>
              <w:t>Вид роботи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jc w:val="center"/>
            </w:pPr>
            <w:r>
              <w:rPr>
                <w:b/>
              </w:rPr>
              <w:t>Діапазон балів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56"/>
              <w:jc w:val="center"/>
            </w:pPr>
            <w:r>
              <w:rPr>
                <w:b/>
              </w:rPr>
              <w:t>Критерії оцінювання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33" w:right="20"/>
              <w:jc w:val="center"/>
            </w:pPr>
            <w:r>
              <w:rPr>
                <w:b/>
              </w:rPr>
              <w:t>Всього балів</w:t>
            </w:r>
            <w:r>
              <w:rPr>
                <w:sz w:val="22"/>
              </w:rPr>
              <w:t xml:space="preserve"> </w:t>
            </w:r>
          </w:p>
        </w:tc>
      </w:tr>
      <w:tr w:rsidR="003C18EE" w:rsidTr="00025512">
        <w:trPr>
          <w:trHeight w:val="368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jc w:val="center"/>
            </w:pPr>
            <w:r>
              <w:rPr>
                <w:b/>
                <w:sz w:val="22"/>
              </w:rPr>
              <w:t>практичні заняття, колоквіум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19" w:firstLine="91"/>
            </w:pPr>
            <w:r>
              <w:rPr>
                <w:b/>
                <w:sz w:val="20"/>
              </w:rPr>
              <w:t>0-2 бали за одне заняття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46"/>
            </w:pPr>
            <w:r>
              <w:rPr>
                <w:sz w:val="20"/>
              </w:rPr>
              <w:t xml:space="preserve">2 бали – високий рівень активності на занятті; глибоке знання матеріалу, у тому числі орієнтація в основних наукових доктринах та концепціях за темою заняття; розгорнута, повна, правильна відповідь на питання; повна, правильна  і переконлива аргументація при вирішенні проблемних правових ситуацій; засвоєння основної і додаткової літератури, рекомендованої навчально - методичним посібником за темою заняття; вільна орієнтація у правових джерелах та судовій практиці за темою заняття; усунення прогалин чи </w:t>
            </w:r>
            <w:proofErr w:type="spellStart"/>
            <w:r>
              <w:rPr>
                <w:sz w:val="20"/>
              </w:rPr>
              <w:t>неточностей</w:t>
            </w:r>
            <w:proofErr w:type="spellEnd"/>
            <w:r>
              <w:rPr>
                <w:sz w:val="20"/>
              </w:rPr>
              <w:t xml:space="preserve"> у відповідях інших студентів; високий рівень засвоєння практичних навичок за певною темою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51"/>
              <w:jc w:val="center"/>
            </w:pPr>
            <w:r>
              <w:rPr>
                <w:b/>
                <w:sz w:val="22"/>
              </w:rPr>
              <w:t>0-26</w:t>
            </w:r>
            <w:r>
              <w:rPr>
                <w:sz w:val="22"/>
              </w:rPr>
              <w:t xml:space="preserve"> </w:t>
            </w:r>
          </w:p>
        </w:tc>
      </w:tr>
      <w:tr w:rsidR="003C18EE" w:rsidTr="00025512">
        <w:trPr>
          <w:trHeight w:val="254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jc w:val="center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1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46"/>
            </w:pPr>
            <w:r>
              <w:rPr>
                <w:sz w:val="20"/>
              </w:rPr>
              <w:t>1,5 бали – високий рівень активності на занятті; неповне, неточне розкриття питання, розв’язання практичних завдань з окремими помилками; засвоєння основної і додаткової літератури, рекомендованої навчально - методичним посібником за темою заняття; неповне використання під час відповіді правових джерелах та судової практики; суттєве доповнення відповідей інших студентів; високий рівень засвоєння практичних навичок за певною темою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5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3C18EE" w:rsidTr="00025512">
        <w:trPr>
          <w:trHeight w:val="231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1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2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46"/>
            </w:pPr>
            <w:r>
              <w:rPr>
                <w:sz w:val="20"/>
              </w:rPr>
              <w:t>1 бал – середній рівень активності на занятті; значна неповнота, суттєві неточності та прогалини у відповіді на питання; вирішення проблемних правових ситуацій з суттєвими помилками; знайомство з основною літературою, рекомендованою навчально - методичним посібником; часткове використання правових джерел за темою заняття; середній рівень засвоєння практичних навичок за певною темою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1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C18EE" w:rsidTr="00025512">
        <w:trPr>
          <w:trHeight w:val="47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19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25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</w:pPr>
            <w:r>
              <w:rPr>
                <w:sz w:val="20"/>
              </w:rPr>
              <w:t xml:space="preserve">0,5 балів – низький рівень активності на занятті; значна неповнота, суттєві неточності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19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C18EE" w:rsidTr="00025512">
        <w:trPr>
          <w:trHeight w:val="208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after="160" w:line="259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after="160" w:line="259" w:lineRule="auto"/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48"/>
            </w:pPr>
            <w:r>
              <w:rPr>
                <w:sz w:val="20"/>
              </w:rPr>
              <w:t>та прогалини у відповіді на питання; розв’язання окремих практичних завдань з теми; вирішення проблемних правових ситуацій з суттєвими помилками; суттєві прогалини у засвоєнні рекомендованої літератури за темою заняття; низький рівень засвоєння практичних навичок за певною темою; фрагментарне доповнення відповідей інших студентів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after="160" w:line="259" w:lineRule="auto"/>
            </w:pPr>
          </w:p>
        </w:tc>
      </w:tr>
      <w:tr w:rsidR="003C18EE" w:rsidTr="00025512">
        <w:trPr>
          <w:trHeight w:val="92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2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47"/>
            </w:pPr>
            <w:r>
              <w:rPr>
                <w:sz w:val="20"/>
              </w:rPr>
              <w:t>0 балів – відсутність знань по жодному з питань плану занять; не розв’язання практичних завдань; неприсутність на занятті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2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C18EE" w:rsidTr="00025512">
        <w:trPr>
          <w:trHeight w:val="47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96"/>
            </w:pPr>
            <w:r>
              <w:rPr>
                <w:b/>
                <w:sz w:val="22"/>
              </w:rPr>
              <w:t>самостійна робота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46"/>
              <w:jc w:val="center"/>
            </w:pPr>
            <w:r>
              <w:rPr>
                <w:b/>
                <w:sz w:val="22"/>
              </w:rPr>
              <w:t>0 – 8 балів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</w:pPr>
            <w:r>
              <w:rPr>
                <w:sz w:val="20"/>
              </w:rPr>
              <w:t xml:space="preserve">Виконується протягом вивчення навчального курсу за узгодженням з викладачем.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54"/>
              <w:jc w:val="center"/>
            </w:pPr>
            <w:r>
              <w:rPr>
                <w:b/>
                <w:sz w:val="22"/>
              </w:rPr>
              <w:t>0-8</w:t>
            </w:r>
            <w:r>
              <w:rPr>
                <w:sz w:val="22"/>
              </w:rPr>
              <w:t xml:space="preserve"> </w:t>
            </w:r>
          </w:p>
        </w:tc>
      </w:tr>
      <w:tr w:rsidR="003C18EE" w:rsidTr="00025512">
        <w:trPr>
          <w:trHeight w:val="518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jc w:val="center"/>
            </w:pPr>
            <w:r>
              <w:rPr>
                <w:b/>
                <w:sz w:val="22"/>
              </w:rPr>
              <w:t>тести, контрольна робота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46"/>
              <w:jc w:val="center"/>
            </w:pPr>
            <w:r>
              <w:rPr>
                <w:b/>
                <w:sz w:val="22"/>
              </w:rPr>
              <w:t>0 – 6 балів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</w:pPr>
            <w:r>
              <w:rPr>
                <w:sz w:val="20"/>
              </w:rPr>
              <w:t>Виконується у вигляді тестових завдань, контрольної роботи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54"/>
              <w:jc w:val="center"/>
            </w:pPr>
            <w:r>
              <w:rPr>
                <w:b/>
                <w:sz w:val="22"/>
              </w:rPr>
              <w:t>0-6</w:t>
            </w:r>
            <w:r>
              <w:rPr>
                <w:sz w:val="22"/>
              </w:rPr>
              <w:t xml:space="preserve"> </w:t>
            </w:r>
          </w:p>
        </w:tc>
      </w:tr>
      <w:tr w:rsidR="003C18EE" w:rsidTr="00025512">
        <w:trPr>
          <w:trHeight w:val="26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EE" w:rsidRDefault="003C18EE" w:rsidP="00025512">
            <w:pPr>
              <w:spacing w:line="259" w:lineRule="auto"/>
              <w:ind w:right="50"/>
              <w:jc w:val="center"/>
            </w:pPr>
            <w:r>
              <w:rPr>
                <w:b/>
                <w:sz w:val="22"/>
              </w:rPr>
              <w:t>0-40</w:t>
            </w:r>
            <w:r>
              <w:rPr>
                <w:sz w:val="22"/>
              </w:rPr>
              <w:t xml:space="preserve"> </w:t>
            </w:r>
          </w:p>
        </w:tc>
      </w:tr>
    </w:tbl>
    <w:p w:rsidR="003C18EE" w:rsidRDefault="003C18EE" w:rsidP="003C18EE">
      <w:pPr>
        <w:spacing w:line="259" w:lineRule="auto"/>
        <w:ind w:left="64"/>
        <w:jc w:val="center"/>
      </w:pPr>
      <w:r>
        <w:rPr>
          <w:b/>
        </w:rPr>
        <w:t xml:space="preserve"> </w:t>
      </w:r>
    </w:p>
    <w:p w:rsidR="003C18EE" w:rsidRPr="003C18EE" w:rsidRDefault="003C18EE" w:rsidP="003C18EE">
      <w:pPr>
        <w:spacing w:after="35" w:line="360" w:lineRule="auto"/>
        <w:ind w:left="-15" w:right="-1" w:firstLine="723"/>
        <w:jc w:val="both"/>
        <w:rPr>
          <w:sz w:val="28"/>
          <w:szCs w:val="28"/>
        </w:rPr>
      </w:pPr>
      <w:r w:rsidRPr="003C18EE">
        <w:rPr>
          <w:sz w:val="28"/>
          <w:szCs w:val="28"/>
        </w:rPr>
        <w:t xml:space="preserve">Підсумковий контроль знань здійснюється у формі іспиту, який проходить у дистанційному режимі в усній формі та оцінюється в діапазоні – 0-60 балів.  </w:t>
      </w:r>
    </w:p>
    <w:p w:rsidR="003C18EE" w:rsidRPr="003C18EE" w:rsidRDefault="003C18EE" w:rsidP="003C18EE">
      <w:pPr>
        <w:spacing w:line="360" w:lineRule="auto"/>
        <w:jc w:val="both"/>
        <w:rPr>
          <w:sz w:val="28"/>
          <w:szCs w:val="28"/>
        </w:rPr>
      </w:pPr>
    </w:p>
    <w:sectPr w:rsidR="003C18EE" w:rsidRPr="003C18EE" w:rsidSect="003C18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E"/>
    <w:rsid w:val="003C18EE"/>
    <w:rsid w:val="00762A94"/>
    <w:rsid w:val="00A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B1E"/>
  <w15:chartTrackingRefBased/>
  <w15:docId w15:val="{063AB4BE-C248-420E-9C54-5DEC0CDC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3C18E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TableGrid">
    <w:name w:val="TableGrid"/>
    <w:rsid w:val="003C18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6402</Words>
  <Characters>3650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2024-09-10T07:09:00Z</dcterms:created>
  <dcterms:modified xsi:type="dcterms:W3CDTF">2024-09-10T07:17:00Z</dcterms:modified>
</cp:coreProperties>
</file>