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5FCD" w14:textId="77777777" w:rsidR="000A323A" w:rsidRPr="00AE4550" w:rsidRDefault="000A323A" w:rsidP="000A323A">
      <w:pPr>
        <w:pStyle w:val="2"/>
        <w:spacing w:after="0" w:line="240" w:lineRule="auto"/>
        <w:jc w:val="center"/>
        <w:rPr>
          <w:rFonts w:ascii="Times New Roman" w:hAnsi="Times New Roman"/>
          <w:b/>
          <w:caps/>
          <w:lang w:val="uk-UA"/>
        </w:rPr>
      </w:pPr>
      <w:r w:rsidRPr="00AE4550">
        <w:rPr>
          <w:rFonts w:ascii="Times New Roman" w:hAnsi="Times New Roman"/>
          <w:b/>
          <w:caps/>
          <w:lang w:val="uk-UA"/>
        </w:rPr>
        <w:t>критерії</w:t>
      </w:r>
    </w:p>
    <w:p w14:paraId="186FF2EC" w14:textId="77777777" w:rsidR="000A323A" w:rsidRPr="00AE4550" w:rsidRDefault="000A323A" w:rsidP="000A323A">
      <w:pPr>
        <w:pStyle w:val="2"/>
        <w:spacing w:after="0" w:line="240" w:lineRule="auto"/>
        <w:jc w:val="center"/>
        <w:rPr>
          <w:rFonts w:ascii="Times New Roman" w:hAnsi="Times New Roman"/>
          <w:b/>
          <w:caps/>
          <w:lang w:val="uk-UA"/>
        </w:rPr>
      </w:pPr>
      <w:r w:rsidRPr="00AE4550">
        <w:rPr>
          <w:rFonts w:ascii="Times New Roman" w:hAnsi="Times New Roman"/>
          <w:b/>
          <w:lang w:val="uk-UA"/>
        </w:rPr>
        <w:t>оцінювання знань для аспірантів</w:t>
      </w:r>
    </w:p>
    <w:p w14:paraId="19C70B19" w14:textId="77777777" w:rsidR="000A323A" w:rsidRPr="00AE4550" w:rsidRDefault="000A323A" w:rsidP="000A323A">
      <w:pPr>
        <w:spacing w:after="0"/>
        <w:ind w:left="0"/>
        <w:jc w:val="center"/>
        <w:rPr>
          <w:b/>
          <w:lang w:val="uk-UA"/>
        </w:rPr>
      </w:pPr>
      <w:r w:rsidRPr="00AE4550">
        <w:rPr>
          <w:b/>
          <w:lang w:val="uk-UA"/>
        </w:rPr>
        <w:t>(здобувачів вищої освіти ступеня доктора філософії)</w:t>
      </w:r>
    </w:p>
    <w:p w14:paraId="04017CE0" w14:textId="77777777" w:rsidR="000A323A" w:rsidRPr="00AE4550" w:rsidRDefault="000A323A" w:rsidP="000A323A">
      <w:pPr>
        <w:pStyle w:val="2"/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14:paraId="48205918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1. </w:t>
      </w:r>
      <w:r w:rsidRPr="00AE4550">
        <w:rPr>
          <w:b/>
          <w:i/>
          <w:lang w:val="uk-UA"/>
        </w:rPr>
        <w:t>Організація поточного контролю.</w:t>
      </w:r>
      <w:r w:rsidRPr="00AE4550">
        <w:rPr>
          <w:lang w:val="uk-UA"/>
        </w:rPr>
        <w:t xml:space="preserve"> Оцінювання знань аспірантів з навчальної дисципліни «Філософія прав </w:t>
      </w:r>
      <w:r>
        <w:rPr>
          <w:lang w:val="uk-UA"/>
        </w:rPr>
        <w:t>людини</w:t>
      </w:r>
      <w:r w:rsidRPr="00AE4550">
        <w:rPr>
          <w:lang w:val="uk-UA"/>
        </w:rPr>
        <w:t xml:space="preserve">» здійснюється на основі результатів поточного контролю (ПК). </w:t>
      </w:r>
    </w:p>
    <w:p w14:paraId="1C06BEA5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>Загальним об’єктом оцінювання знань аспірантів є відповідні частини навчальної програми дисципліни, засвоєння яких перевіряється під час ПК.</w:t>
      </w:r>
    </w:p>
    <w:p w14:paraId="49CC7A03" w14:textId="77777777" w:rsidR="000A323A" w:rsidRPr="00AE4550" w:rsidRDefault="000A323A" w:rsidP="000A323A">
      <w:p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Завданням ПК є перевірка розуміння та засвоєння навчального матеріалу, здатності осмислити зміст окремих тем чи розділу, умінь застосовувати отримані знання при вирішенні дослідницьких завдань. </w:t>
      </w:r>
    </w:p>
    <w:p w14:paraId="4471962A" w14:textId="77777777" w:rsidR="000A323A" w:rsidRPr="00AE4550" w:rsidRDefault="000A323A" w:rsidP="000A323A">
      <w:p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/>
        <w:ind w:left="0" w:firstLine="709"/>
        <w:rPr>
          <w:lang w:val="uk-UA"/>
        </w:rPr>
      </w:pPr>
      <w:r w:rsidRPr="00AE4550">
        <w:rPr>
          <w:lang w:val="uk-UA"/>
        </w:rPr>
        <w:t>Об’єктами ПК знань аспірантів є: систематичність та активність роботи на лекціях, семінарських заняттях (відвідування відповідних форм навчального процесу, активність та рівень знань при обговоренні питань), виконання контрольних завдань, інші форми робіт.</w:t>
      </w:r>
    </w:p>
    <w:p w14:paraId="549A9143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Оцінювання результатів ПК здійснюється викладачем наприкінці вивчення навчальної дисципліни. </w:t>
      </w:r>
    </w:p>
    <w:p w14:paraId="48C3A689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b/>
          <w:i/>
          <w:lang w:val="uk-UA"/>
        </w:rPr>
      </w:pPr>
      <w:r w:rsidRPr="00AE4550">
        <w:rPr>
          <w:b/>
          <w:i/>
          <w:lang w:val="uk-UA"/>
        </w:rPr>
        <w:t xml:space="preserve">2. Критеріями оцінювання ПК є: </w:t>
      </w:r>
    </w:p>
    <w:p w14:paraId="14D89E87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>а) активність та рівень знань при обговоренні питань семінарських занять, відвідування відповідних форм навчального процесу, самостійне вивчення окремих тем чи питань, інші форми робіт (від 0 до 20);</w:t>
      </w:r>
    </w:p>
    <w:p w14:paraId="554662D4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б) оцінка за контрольні роботи, які проводяться у процесі вивчення кожного модуля дисципліни (від 0 до 10 балів за кожну роботу). Конкретний перелік питань до письмової контрольної роботи, порядок і час її виконання, критерії оцінювання визначаються кафедрою і доводяться до відома аспірантів на початку навчального семестру. </w:t>
      </w:r>
    </w:p>
    <w:p w14:paraId="084A4B4A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>Підсумковий бал за результатами ПК оформляється перед початком екзаменаційної сесії.</w:t>
      </w:r>
    </w:p>
    <w:p w14:paraId="25371B6B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Загальна максимальна кількість балів за ПК складає 40 балів. </w:t>
      </w:r>
    </w:p>
    <w:p w14:paraId="4E23A0ED" w14:textId="77777777" w:rsidR="000A323A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Мінімальна кількість балів за ПК, яка є допуском до складання екзамену – 25 балів. </w:t>
      </w:r>
    </w:p>
    <w:p w14:paraId="47E181C2" w14:textId="77777777" w:rsidR="000A323A" w:rsidRPr="00AE4550" w:rsidRDefault="000A323A" w:rsidP="000A323A">
      <w:pPr>
        <w:shd w:val="clear" w:color="auto" w:fill="FFFFFF"/>
        <w:spacing w:after="0"/>
        <w:ind w:left="0" w:firstLine="709"/>
        <w:rPr>
          <w:lang w:val="uk-UA"/>
        </w:rPr>
      </w:pPr>
      <w:r w:rsidRPr="00AE4550">
        <w:rPr>
          <w:lang w:val="uk-UA"/>
        </w:rPr>
        <w:t>У разі невиконання завдань ПК (у разі отримання менше, аніж 25 балів) з об’єктивних причин аспіранти мають право з дозволу викладача скласти їх до екзаменаційної сесії. Час та порядок складання визначає викладач.</w:t>
      </w:r>
    </w:p>
    <w:p w14:paraId="313BCB44" w14:textId="77777777" w:rsidR="000A323A" w:rsidRPr="00AE4550" w:rsidRDefault="000A323A" w:rsidP="000A323A">
      <w:p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/>
        <w:ind w:left="0" w:firstLine="709"/>
        <w:rPr>
          <w:lang w:val="uk-UA"/>
        </w:rPr>
      </w:pPr>
      <w:r w:rsidRPr="00AE4550">
        <w:rPr>
          <w:lang w:val="uk-UA"/>
        </w:rPr>
        <w:t xml:space="preserve">3. </w:t>
      </w:r>
      <w:r w:rsidRPr="00AE4550">
        <w:rPr>
          <w:b/>
          <w:i/>
          <w:lang w:val="uk-UA"/>
        </w:rPr>
        <w:t>Підсумкове оцінювання</w:t>
      </w:r>
      <w:r w:rsidRPr="00AE4550">
        <w:rPr>
          <w:lang w:val="uk-UA"/>
        </w:rPr>
        <w:t xml:space="preserve"> рівня знань аспірантів з філософії прав </w:t>
      </w:r>
      <w:r>
        <w:rPr>
          <w:lang w:val="uk-UA"/>
        </w:rPr>
        <w:t>людини</w:t>
      </w:r>
      <w:r w:rsidRPr="00AE4550">
        <w:rPr>
          <w:lang w:val="uk-UA"/>
        </w:rPr>
        <w:t xml:space="preserve"> здійснюється на основі результатів поточного </w:t>
      </w:r>
      <w:r>
        <w:rPr>
          <w:lang w:val="uk-UA"/>
        </w:rPr>
        <w:t>(</w:t>
      </w:r>
      <w:r w:rsidRPr="00AE4550">
        <w:rPr>
          <w:lang w:val="uk-UA"/>
        </w:rPr>
        <w:t>ПК</w:t>
      </w:r>
      <w:r>
        <w:rPr>
          <w:lang w:val="uk-UA"/>
        </w:rPr>
        <w:t>)</w:t>
      </w:r>
      <w:r w:rsidRPr="00AE4550">
        <w:rPr>
          <w:lang w:val="uk-UA"/>
        </w:rPr>
        <w:t xml:space="preserve"> та підсумкового контролю знань аспірантів (ПКЗ) за 100-бальною шкалою. Завдання, що виносяться на ПКЗ, оцінюються від 0 до 60 балів.</w:t>
      </w:r>
    </w:p>
    <w:p w14:paraId="5DF1B6BC" w14:textId="77777777" w:rsidR="000A323A" w:rsidRPr="00AE4550" w:rsidRDefault="000A323A" w:rsidP="000A323A">
      <w:p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/>
        <w:ind w:left="0" w:firstLine="709"/>
        <w:rPr>
          <w:b/>
          <w:lang w:val="uk-UA"/>
        </w:rPr>
      </w:pPr>
      <w:r w:rsidRPr="00AE4550">
        <w:rPr>
          <w:lang w:val="uk-UA"/>
        </w:rPr>
        <w:t xml:space="preserve">ПКЗ з філософії прав </w:t>
      </w:r>
      <w:r>
        <w:rPr>
          <w:lang w:val="uk-UA"/>
        </w:rPr>
        <w:t>людини</w:t>
      </w:r>
      <w:r w:rsidRPr="00AE4550">
        <w:rPr>
          <w:lang w:val="uk-UA"/>
        </w:rPr>
        <w:t xml:space="preserve"> проводиться у формі</w:t>
      </w:r>
      <w:r>
        <w:rPr>
          <w:lang w:val="uk-UA"/>
        </w:rPr>
        <w:t xml:space="preserve"> </w:t>
      </w:r>
      <w:r w:rsidRPr="00AE4550">
        <w:rPr>
          <w:lang w:val="uk-UA"/>
        </w:rPr>
        <w:t>іспиту</w:t>
      </w:r>
      <w:r>
        <w:rPr>
          <w:lang w:val="uk-UA"/>
        </w:rPr>
        <w:t xml:space="preserve"> </w:t>
      </w:r>
      <w:r w:rsidRPr="00AE4550">
        <w:rPr>
          <w:lang w:val="uk-UA"/>
        </w:rPr>
        <w:t>з вузлових питань, що потребують творчої відповіді та уміння синтезувати отримані знання з сучасними соціальними і правовими проблемами та дослідницькими завданнями.</w:t>
      </w:r>
    </w:p>
    <w:p w14:paraId="1CFC2BA2" w14:textId="77777777" w:rsidR="000A323A" w:rsidRPr="00AE4550" w:rsidRDefault="000A323A" w:rsidP="000A323A">
      <w:pPr>
        <w:shd w:val="clear" w:color="auto" w:fill="FFFFFF"/>
        <w:tabs>
          <w:tab w:val="left" w:pos="653"/>
        </w:tabs>
        <w:spacing w:after="0"/>
        <w:ind w:left="0" w:firstLine="709"/>
        <w:rPr>
          <w:lang w:val="uk-UA"/>
        </w:rPr>
      </w:pPr>
      <w:r w:rsidRPr="00AE4550">
        <w:rPr>
          <w:lang w:val="uk-UA"/>
        </w:rPr>
        <w:t>Конкретний перелік питань та завдань, що охоплюють весь зміст навчальної дисципліни, критерії оцінювання екзаменаційних завдань, порядок і час їх складання визначаються кафедрою і доводяться до аспірантів на початку навчального семестру. До екзаменаційного білета включаються три питання з курсу філософії</w:t>
      </w:r>
      <w:r>
        <w:rPr>
          <w:lang w:val="uk-UA"/>
        </w:rPr>
        <w:t xml:space="preserve"> прав людини</w:t>
      </w:r>
      <w:r w:rsidRPr="00AE4550">
        <w:rPr>
          <w:lang w:val="uk-UA"/>
        </w:rPr>
        <w:t>. Відповідь на кожне питання оцінюється від 0 до 20 балів.</w:t>
      </w:r>
    </w:p>
    <w:p w14:paraId="11229775" w14:textId="77777777" w:rsidR="000A323A" w:rsidRPr="00AE4550" w:rsidRDefault="000A323A" w:rsidP="000A323A">
      <w:pPr>
        <w:spacing w:after="0"/>
        <w:ind w:left="0"/>
        <w:jc w:val="center"/>
        <w:rPr>
          <w:b/>
          <w:lang w:val="uk-UA"/>
        </w:rPr>
      </w:pPr>
    </w:p>
    <w:p w14:paraId="7719206B" w14:textId="77777777" w:rsidR="000A323A" w:rsidRPr="00AE4550" w:rsidRDefault="000A323A" w:rsidP="000A323A">
      <w:pPr>
        <w:spacing w:after="0"/>
        <w:ind w:left="0"/>
        <w:rPr>
          <w:lang w:val="uk-UA" w:eastAsia="ru-RU"/>
        </w:rPr>
      </w:pPr>
    </w:p>
    <w:p w14:paraId="19FD9C90" w14:textId="77777777" w:rsidR="000A323A" w:rsidRPr="000778E9" w:rsidRDefault="000A323A" w:rsidP="000A323A">
      <w:pPr>
        <w:jc w:val="center"/>
        <w:rPr>
          <w:color w:val="auto"/>
          <w:lang w:val="uk-UA"/>
        </w:rPr>
      </w:pPr>
      <w:r w:rsidRPr="000778E9">
        <w:rPr>
          <w:b/>
          <w:color w:val="auto"/>
          <w:lang w:val="uk-UA"/>
        </w:rPr>
        <w:t>Підсумкова оцінка з навчальної дисципліни виставляється відповідно до такої шкали</w: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0" allowOverlap="1" wp14:anchorId="23CA93F4" wp14:editId="2D9AC08C">
                <wp:simplePos x="0" y="0"/>
                <wp:positionH relativeFrom="margin">
                  <wp:posOffset>9528174</wp:posOffset>
                </wp:positionH>
                <wp:positionV relativeFrom="paragraph">
                  <wp:posOffset>859790</wp:posOffset>
                </wp:positionV>
                <wp:extent cx="0" cy="1054735"/>
                <wp:effectExtent l="0" t="0" r="19050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7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73F55" id="Прямая соединительная линия 9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750.25pt,67.7pt" to="750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MC9gEAAJkDAAAOAAAAZHJzL2Uyb0RvYy54bWysU82O0zAQviPxDpbvNOnCQhs13UOX5bJA&#10;pd19gKnjNBaOx7Ldpr0BZ6Q+Aq/AAaSVFvYZkjfCdtPCwg2RgzW/38x8M5mcbWpJ1txYgSqnw0FK&#10;CVcMC6GWOb25vngyosQ6UAVIVDynW27p2fTxo0mjM36CFcqCG+JBlM0andPKOZ0liWUVr8EOUHPl&#10;nSWaGpxXzTIpDDQevZbJSZo+Txo0hTbIuLXeer530mnEL0vO3NuytNwRmVPfm4uvie8ivMl0AtnS&#10;gK4E69uAf+iiBqF80SPUOTggKyP+gqoFM2ixdAOGdYJlKRiPM/hphukf01xVoHmcxZNj9ZEm+/9g&#10;2Zv13BBR5HRMiYLar6j93L3vdu339ku3I92H9r791n5tb9sf7W330ct33ScvB2d715t3ZByYbLTN&#10;POBMzU3ggm3Ulb5E9s4ShbMK1JLHia632pcZhozkQUpQrPb9LJrXWPgYWDmMtG5KUwdITxjZxO1t&#10;j9vjG0fY3si8dZiePnvx9DSiQ3ZI1Ma6VxxrEoScSqECsZDB+tK60Ahkh5BgVnghpIzHIRVpcjoa&#10;jdOYYFGKIjhDmDXLxUwasoZwXvHr6z4IM7hSRQSrOBQve9mBkHvZF5eqJyPMv2dygcV2bg4k+f3H&#10;LvtbDQf2ux6zf/1R058AAAD//wMAUEsDBBQABgAIAAAAIQAHKUFX4QAAAA0BAAAPAAAAZHJzL2Rv&#10;d25yZXYueG1sTI/BTsMwEETvSPyDtUhcELVLSYVCnCoUuORQiaTi7MRLEojXke224e9xxQFuO7uj&#10;2TfZZjYjO6LzgyUJy4UAhtRaPVAnYV+/3j4A80GRVqMllPCNHjb55UWmUm1P9IbHKnQshpBPlYQ+&#10;hCnl3Lc9GuUXdkKKtw/rjApRuo5rp04x3Iz8Tog1N2qg+KFXE257bL+qg5HQvBTrbV3a/a5+b0p3&#10;U34W1dOzlNdXc/EILOAc/sxwxo/okEemxh5IezZGnQiRRG+cVsk9sLPld9VIWIllAjzP+P8W+Q8A&#10;AAD//wMAUEsBAi0AFAAGAAgAAAAhALaDOJL+AAAA4QEAABMAAAAAAAAAAAAAAAAAAAAAAFtDb250&#10;ZW50X1R5cGVzXS54bWxQSwECLQAUAAYACAAAACEAOP0h/9YAAACUAQAACwAAAAAAAAAAAAAAAAAv&#10;AQAAX3JlbHMvLnJlbHNQSwECLQAUAAYACAAAACEAYpZDAvYBAACZAwAADgAAAAAAAAAAAAAAAAAu&#10;AgAAZHJzL2Uyb0RvYy54bWxQSwECLQAUAAYACAAAACEABylBV+EAAAANAQAADwAAAAAAAAAAAAAA&#10;AABQBAAAZHJzL2Rvd25yZXYueG1sUEsFBgAAAAAEAAQA8wAAAF4FAAAAAA==&#10;" o:allowincell="f" strokeweight=".7pt">
                <w10:wrap anchorx="margin"/>
              </v:line>
            </w:pict>
          </mc:Fallback>
        </mc:AlternateContent>
      </w:r>
      <w:r w:rsidRPr="000778E9">
        <w:rPr>
          <w:b/>
          <w:color w:val="auto"/>
          <w:lang w:val="uk-UA"/>
        </w:rPr>
        <w:t>:</w:t>
      </w:r>
    </w:p>
    <w:p w14:paraId="316C052C" w14:textId="77777777" w:rsidR="000A323A" w:rsidRPr="000778E9" w:rsidRDefault="000A323A" w:rsidP="000A323A">
      <w:pPr>
        <w:ind w:left="0" w:firstLine="0"/>
        <w:rPr>
          <w:color w:val="auto"/>
          <w:lang w:val="uk-UA" w:eastAsia="ru-RU"/>
        </w:rPr>
      </w:pPr>
    </w:p>
    <w:p w14:paraId="180F400E" w14:textId="77777777" w:rsidR="000A323A" w:rsidRDefault="000A323A" w:rsidP="000A323A">
      <w:pPr>
        <w:ind w:left="0" w:firstLine="0"/>
        <w:rPr>
          <w:lang w:val="uk-UA" w:eastAsia="ru-RU"/>
        </w:rPr>
      </w:pPr>
    </w:p>
    <w:tbl>
      <w:tblPr>
        <w:tblW w:w="70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891"/>
        <w:gridCol w:w="1620"/>
        <w:gridCol w:w="2254"/>
      </w:tblGrid>
      <w:tr w:rsidR="000A323A" w:rsidRPr="008E2666" w14:paraId="60321ACE" w14:textId="77777777" w:rsidTr="00B94F87">
        <w:trPr>
          <w:trHeight w:hRule="exact" w:val="1442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1C190F1D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lang w:val="uk-UA"/>
              </w:rPr>
            </w:pPr>
            <w:r w:rsidRPr="009B69BB">
              <w:rPr>
                <w:b/>
                <w:bCs/>
                <w:lang w:val="uk-UA"/>
              </w:rPr>
              <w:t>Оцінка</w:t>
            </w:r>
            <w:r>
              <w:rPr>
                <w:b/>
                <w:bCs/>
                <w:lang w:val="uk-UA"/>
              </w:rPr>
              <w:t xml:space="preserve"> </w:t>
            </w:r>
            <w:r w:rsidRPr="009B69BB">
              <w:rPr>
                <w:b/>
                <w:bCs/>
                <w:lang w:val="uk-UA"/>
              </w:rPr>
              <w:t>за шкалою ЕСТS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08657D97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bCs/>
                <w:caps/>
                <w:lang w:val="uk-UA"/>
              </w:rPr>
              <w:t>В</w:t>
            </w:r>
            <w:r w:rsidRPr="009B69BB">
              <w:rPr>
                <w:b/>
                <w:bCs/>
                <w:lang w:val="uk-UA"/>
              </w:rPr>
              <w:t>изначення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88FCA38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bCs/>
                <w:lang w:val="uk-UA"/>
              </w:rPr>
              <w:t>Оцінка за національною шкалою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7F4DA14E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bCs/>
                <w:lang w:val="uk-UA"/>
              </w:rPr>
              <w:t>Оцінка за 100-бальною шкалою, що використовується в університеті</w:t>
            </w:r>
          </w:p>
        </w:tc>
      </w:tr>
      <w:tr w:rsidR="000A323A" w:rsidRPr="009B69BB" w14:paraId="15D0F686" w14:textId="77777777" w:rsidTr="00B94F87">
        <w:trPr>
          <w:trHeight w:hRule="exact" w:val="1696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7D3B3935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А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640EA76E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Відмінно</w:t>
            </w:r>
            <w:r w:rsidRPr="009B69BB">
              <w:rPr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13A067F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5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4A180051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90-100</w:t>
            </w:r>
          </w:p>
        </w:tc>
      </w:tr>
      <w:tr w:rsidR="000A323A" w:rsidRPr="009B69BB" w14:paraId="7E18D760" w14:textId="77777777" w:rsidTr="00B94F87">
        <w:trPr>
          <w:trHeight w:hRule="exact" w:val="1609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0C8E3705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lastRenderedPageBreak/>
              <w:t>В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46E1611B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Дуже добре</w:t>
            </w:r>
            <w:r w:rsidRPr="009B69BB">
              <w:rPr>
                <w:lang w:val="uk-UA"/>
              </w:rPr>
              <w:t xml:space="preserve"> – вище середнього рівня з кількома помилками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4F571BAE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4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BCDB801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80-89</w:t>
            </w:r>
          </w:p>
        </w:tc>
      </w:tr>
      <w:tr w:rsidR="000A323A" w:rsidRPr="009B69BB" w14:paraId="6761BD60" w14:textId="77777777" w:rsidTr="00B94F87">
        <w:trPr>
          <w:trHeight w:hRule="exact" w:val="1810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1A0B75FD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bCs/>
                <w:lang w:val="uk-UA"/>
              </w:rPr>
              <w:t>C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44BA24FB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Добре</w:t>
            </w:r>
            <w:r w:rsidRPr="009B69BB">
              <w:rPr>
                <w:lang w:val="uk-UA"/>
              </w:rPr>
              <w:t xml:space="preserve"> – у цілому правильна робота з певною кількістю незначних помилок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4298242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3776E5FC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75-79</w:t>
            </w:r>
          </w:p>
        </w:tc>
      </w:tr>
      <w:tr w:rsidR="000A323A" w:rsidRPr="009B69BB" w14:paraId="1BBC5495" w14:textId="77777777" w:rsidTr="00B94F87">
        <w:trPr>
          <w:trHeight w:hRule="exact" w:val="1451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2BAAFAFF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bCs/>
                <w:iCs/>
                <w:lang w:val="uk-UA"/>
              </w:rPr>
              <w:t>D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596BCA6C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Задовільно</w:t>
            </w:r>
            <w:r w:rsidRPr="009B69BB">
              <w:rPr>
                <w:lang w:val="uk-UA"/>
              </w:rPr>
              <w:t xml:space="preserve"> – непогано, але зі значною кількістю недоліків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17417D82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</w:p>
          <w:p w14:paraId="4678A9C3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</w:p>
          <w:p w14:paraId="1E1566E6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3</w:t>
            </w:r>
          </w:p>
          <w:p w14:paraId="36193CDA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14052FD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70-74</w:t>
            </w:r>
          </w:p>
        </w:tc>
      </w:tr>
      <w:tr w:rsidR="000A323A" w:rsidRPr="009B69BB" w14:paraId="0CFCDD45" w14:textId="77777777" w:rsidTr="00B94F87">
        <w:trPr>
          <w:trHeight w:hRule="exact" w:val="1435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2305931A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Е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27E9098D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Достатньо</w:t>
            </w:r>
            <w:r w:rsidRPr="009B69BB">
              <w:rPr>
                <w:lang w:val="uk-UA"/>
              </w:rPr>
              <w:t xml:space="preserve"> – виконання задовольняє мінімальні критерії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22031CA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822E020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60-69</w:t>
            </w:r>
          </w:p>
        </w:tc>
      </w:tr>
      <w:tr w:rsidR="000A323A" w:rsidRPr="009B69BB" w14:paraId="1E5365D1" w14:textId="77777777" w:rsidTr="00B94F87">
        <w:trPr>
          <w:trHeight w:hRule="exact" w:val="1612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5BC14D49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FХ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21BEC7F8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Незадовільно</w:t>
            </w:r>
            <w:r w:rsidRPr="009B69BB">
              <w:rPr>
                <w:lang w:val="uk-UA"/>
              </w:rPr>
              <w:t xml:space="preserve"> – потрібно попрацювати перед тим, як </w:t>
            </w:r>
            <w:proofErr w:type="spellStart"/>
            <w:r w:rsidRPr="009B69BB">
              <w:rPr>
                <w:lang w:val="uk-UA"/>
              </w:rPr>
              <w:t>перескласти</w:t>
            </w:r>
            <w:proofErr w:type="spellEnd"/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F0A3A2E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2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3666BC52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20-59</w:t>
            </w:r>
          </w:p>
        </w:tc>
      </w:tr>
      <w:tr w:rsidR="000A323A" w:rsidRPr="009B69BB" w14:paraId="6C661899" w14:textId="77777777" w:rsidTr="00B94F87">
        <w:trPr>
          <w:trHeight w:hRule="exact" w:val="1622"/>
          <w:jc w:val="center"/>
        </w:trPr>
        <w:tc>
          <w:tcPr>
            <w:tcW w:w="1260" w:type="dxa"/>
            <w:shd w:val="clear" w:color="auto" w:fill="FFFFFF"/>
            <w:vAlign w:val="center"/>
          </w:tcPr>
          <w:p w14:paraId="0075B61B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F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3ED7DF9C" w14:textId="77777777" w:rsidR="000A323A" w:rsidRPr="009B69BB" w:rsidRDefault="000A323A" w:rsidP="00B94F87">
            <w:pPr>
              <w:shd w:val="clear" w:color="auto" w:fill="FFFFFF"/>
              <w:tabs>
                <w:tab w:val="left" w:pos="1208"/>
              </w:tabs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9B69BB">
              <w:rPr>
                <w:b/>
                <w:caps/>
                <w:lang w:val="uk-UA"/>
              </w:rPr>
              <w:t>Незадовільно</w:t>
            </w:r>
            <w:r w:rsidRPr="009B69BB">
              <w:rPr>
                <w:lang w:val="uk-UA"/>
              </w:rPr>
              <w:t xml:space="preserve"> – необхідна серйозна подальша робота, обов’язковий</w:t>
            </w:r>
            <w:r>
              <w:rPr>
                <w:lang w:val="uk-UA"/>
              </w:rPr>
              <w:t xml:space="preserve"> </w:t>
            </w:r>
            <w:r w:rsidRPr="009B69BB">
              <w:rPr>
                <w:lang w:val="uk-UA"/>
              </w:rPr>
              <w:t>повторний курс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AAA272E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CAE0E43" w14:textId="77777777" w:rsidR="000A323A" w:rsidRPr="009B69BB" w:rsidRDefault="000A323A" w:rsidP="00B94F87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lang w:val="uk-UA"/>
              </w:rPr>
            </w:pPr>
            <w:r w:rsidRPr="009B69BB">
              <w:rPr>
                <w:b/>
                <w:lang w:val="uk-UA"/>
              </w:rPr>
              <w:t>1-19</w:t>
            </w:r>
          </w:p>
        </w:tc>
      </w:tr>
    </w:tbl>
    <w:p w14:paraId="08A1B905" w14:textId="77777777" w:rsidR="0083157C" w:rsidRDefault="0083157C"/>
    <w:sectPr w:rsidR="00831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3A"/>
    <w:rsid w:val="000A323A"/>
    <w:rsid w:val="0083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392D"/>
  <w15:chartTrackingRefBased/>
  <w15:docId w15:val="{3DCE9642-49F2-4623-93AC-2FDEDE00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3A"/>
    <w:pPr>
      <w:spacing w:after="9" w:line="247" w:lineRule="auto"/>
      <w:ind w:left="687" w:hanging="10"/>
      <w:jc w:val="both"/>
    </w:pPr>
    <w:rPr>
      <w:rFonts w:ascii="Times New Roman" w:eastAsia="Times New Roman" w:hAnsi="Times New Roman" w:cs="Times New Roman"/>
      <w:color w:val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A323A"/>
    <w:pPr>
      <w:spacing w:after="120" w:line="48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0A323A"/>
    <w:rPr>
      <w:rFonts w:ascii="Calibri" w:eastAsia="Calibri" w:hAnsi="Calibri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2260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2025-05-20T06:12:00Z</dcterms:created>
  <dcterms:modified xsi:type="dcterms:W3CDTF">2025-05-20T06:12:00Z</dcterms:modified>
</cp:coreProperties>
</file>